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36"/>
        </w:rPr>
        <w:t>年次有給休暇管理表（全従業員一覧）</w:t>
      </w:r>
    </w:p>
    <w:p>
      <w:pPr>
        <w:jc w:val="center"/>
      </w:pPr>
      <w:r>
        <w:rPr>
          <w:rFonts w:ascii="ＭＳ 明朝" w:hAnsi="ＭＳ 明朝"/>
          <w:sz w:val="20"/>
        </w:rPr>
        <w:t>（労働基準法第39条・年次有給休暇管理簿 施行規則第24条の7 準拠）</w:t>
      </w:r>
    </w:p>
    <w:p/>
    <w:p>
      <w:r>
        <w:rPr>
          <w:rFonts w:ascii="ＭＳ 明朝" w:hAnsi="ＭＳ 明朝"/>
          <w:sz w:val="20"/>
        </w:rPr>
        <w:t xml:space="preserve">管理期間：　　　年　　月　　日 ～ 　　年　　月　　日　　会社名：　　　　　　　　　　　　　作成者：　　　　　　　　　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</w:tblGrid>
      <w:tr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No.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氏名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部署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雇用区分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雇入日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基準日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付与日数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前年繰越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取得日数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残日数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5日達成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時季指定実施日</w:t>
            </w:r>
          </w:p>
        </w:tc>
        <w:tc>
          <w:tcPr>
            <w:tcW w:type="dxa" w:w="1164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color w:val="1A5276"/>
                <w:sz w:val="18"/>
              </w:rPr>
              <w:t>備考</w:t>
            </w:r>
          </w:p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</w:tbl>
    <w:p/>
    <w:p>
      <w:r>
        <w:rPr>
          <w:rFonts w:ascii="ＭＳ 明朝" w:hAnsi="ＭＳ 明朝"/>
          <w:sz w:val="16"/>
        </w:rPr>
        <w:t>【注意事項】 本管理表は年次有給休暇管理簿として使用できます。当該有給休暇を与えた期間中及び期間満了後5年間保存が必要（経過措置により当面3年）。年5日取得義務（付与10日以上の労働者）未達の場合: 労働者1人につき30万円以下の罰金（労基法§120）。</w:t>
      </w:r>
    </w:p>
    <w:sectPr w:rsidR="00FC693F" w:rsidRPr="0006063C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