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游ゴシック" w:hAnsi="游ゴシック"/>
          <w:b/>
          <w:sz w:val="40"/>
        </w:rPr>
        <w:t>就業規則（簡易版）</w:t>
      </w:r>
    </w:p>
    <w:p>
      <w:pPr>
        <w:jc w:val="center"/>
      </w:pPr>
      <w:r>
        <w:rPr>
          <w:rFonts w:ascii="游ゴシック" w:hAnsi="游ゴシック"/>
          <w:color w:val="707070"/>
          <w:sz w:val="22"/>
        </w:rPr>
        <w:t>10人未満の事業場向け・厚生労働省モデル就業規則準拠</w:t>
      </w:r>
    </w:p>
    <w:p/>
    <w:p>
      <w:pPr>
        <w:jc w:val="right"/>
      </w:pPr>
      <w:r>
        <w:rPr>
          <w:rFonts w:ascii="ＭＳ 明朝" w:hAnsi="ＭＳ 明朝"/>
          <w:sz w:val="21"/>
        </w:rPr>
        <w:t>【会社名】</w:t>
      </w:r>
    </w:p>
    <w:p>
      <w:pPr>
        <w:jc w:val="right"/>
      </w:pPr>
      <w:r>
        <w:rPr>
          <w:rFonts w:ascii="ＭＳ 明朝" w:hAnsi="ＭＳ 明朝"/>
          <w:color w:val="707070"/>
          <w:sz w:val="20"/>
        </w:rPr>
        <w:t>制定日: 　　年　月　日　　改定日: 　　年　月　日</w:t>
      </w:r>
    </w:p>
    <w:p/>
    <w:p>
      <w:r>
        <w:rPr>
          <w:rFonts w:ascii="ＭＳ 明朝" w:hAnsi="ＭＳ 明朝"/>
          <w:color w:val="2C3E50"/>
          <w:sz w:val="21"/>
        </w:rPr>
        <w:t>【このテンプレートの使い方】</w:t>
      </w:r>
    </w:p>
    <w:p>
      <w:r>
        <w:rPr>
          <w:rFonts w:ascii="ＭＳ 明朝" w:hAnsi="ＭＳ 明朝"/>
          <w:color w:val="2C3E50"/>
          <w:sz w:val="20"/>
        </w:rPr>
        <w:t>本テンプレートは従業員10人未満の事業場向けの簡易版就業規則です。「【　】」部分を自社に合わせて書き換えてください。10人以上になった場合は、労働基準監督署への届出（標準版・詳細版テンプレート使用）が必要です。</w:t>
      </w:r>
    </w:p>
    <w:p/>
    <w:p>
      <w:r>
        <w:rPr>
          <w:rFonts w:ascii="游ゴシック" w:hAnsi="游ゴシック"/>
          <w:b/>
          <w:color w:val="1B3A6B"/>
          <w:sz w:val="26"/>
        </w:rPr>
        <w:t>第1章　総則</w:t>
      </w:r>
    </w:p>
    <w:p>
      <w:r>
        <w:rPr>
          <w:rFonts w:ascii="游ゴシック" w:hAnsi="游ゴシック"/>
          <w:b/>
          <w:color w:val="1B3A6B"/>
          <w:sz w:val="22"/>
        </w:rPr>
        <w:t>第1条（目的）</w:t>
      </w:r>
    </w:p>
    <w:p>
      <w:pPr>
        <w:ind w:left="283"/>
      </w:pPr>
      <w:r>
        <w:rPr>
          <w:rFonts w:ascii="ＭＳ 明朝" w:hAnsi="ＭＳ 明朝"/>
          <w:sz w:val="21"/>
        </w:rPr>
        <w:t>この就業規則（以下「規則」という。）は、【会社名】（以下「会社」という。）の労働者の労働条件、服務規律その他の就業に関する事項を定めるものである。</w:t>
      </w:r>
    </w:p>
    <w:p>
      <w:pPr>
        <w:ind w:left="283"/>
      </w:pPr>
      <w:r>
        <w:rPr>
          <w:rFonts w:ascii="ＭＳ 明朝" w:hAnsi="ＭＳ 明朝"/>
          <w:sz w:val="21"/>
        </w:rPr>
        <w:t>この規則に定めのない事項については、労働基準法その他の法令の定めるところによる。</w:t>
      </w:r>
    </w:p>
    <w:p/>
    <w:p>
      <w:r>
        <w:rPr>
          <w:rFonts w:ascii="游ゴシック" w:hAnsi="游ゴシック"/>
          <w:b/>
          <w:color w:val="1B3A6B"/>
          <w:sz w:val="22"/>
        </w:rPr>
        <w:t>第2条（適用範囲）</w:t>
      </w:r>
    </w:p>
    <w:p>
      <w:pPr>
        <w:ind w:left="283"/>
      </w:pPr>
      <w:r>
        <w:rPr>
          <w:rFonts w:ascii="ＭＳ 明朝" w:hAnsi="ＭＳ 明朝"/>
          <w:sz w:val="21"/>
        </w:rPr>
        <w:t>この規則は、会社のすべての労働者に適用する。ただし、パートタイム労働者（短時間労働者）については別に定める場合はその定めによる。</w:t>
      </w:r>
    </w:p>
    <w:p/>
    <w:p>
      <w:r>
        <w:rPr>
          <w:rFonts w:ascii="游ゴシック" w:hAnsi="游ゴシック"/>
          <w:b/>
          <w:color w:val="1B3A6B"/>
          <w:sz w:val="26"/>
        </w:rPr>
        <w:t>第2章　採用・異動等</w:t>
      </w:r>
    </w:p>
    <w:p>
      <w:r>
        <w:rPr>
          <w:rFonts w:ascii="游ゴシック" w:hAnsi="游ゴシック"/>
          <w:b/>
          <w:color w:val="1B3A6B"/>
          <w:sz w:val="22"/>
        </w:rPr>
        <w:t>第3条（採用）</w:t>
      </w:r>
    </w:p>
    <w:p>
      <w:pPr>
        <w:ind w:left="283"/>
      </w:pPr>
      <w:r>
        <w:rPr>
          <w:rFonts w:ascii="ＭＳ 明朝" w:hAnsi="ＭＳ 明朝"/>
          <w:sz w:val="21"/>
        </w:rPr>
        <w:t>会社は、入社を希望する者の中から選考試験を行い、これに合格した者を採用する。</w:t>
      </w:r>
    </w:p>
    <w:p>
      <w:pPr>
        <w:ind w:left="283"/>
      </w:pPr>
      <w:r>
        <w:rPr>
          <w:rFonts w:ascii="ＭＳ 明朝" w:hAnsi="ＭＳ 明朝"/>
          <w:sz w:val="21"/>
        </w:rPr>
        <w:t>採用にあたっては、採用決定後に次の書類を提出させる。</w:t>
      </w:r>
    </w:p>
    <w:p>
      <w:pPr>
        <w:ind w:left="283"/>
      </w:pPr>
      <w:r>
        <w:rPr>
          <w:rFonts w:ascii="ＭＳ 明朝" w:hAnsi="ＭＳ 明朝"/>
          <w:sz w:val="21"/>
        </w:rPr>
        <w:t xml:space="preserve">  ① 履歴書（写真貼付）</w:t>
      </w:r>
    </w:p>
    <w:p>
      <w:pPr>
        <w:ind w:left="283"/>
      </w:pPr>
      <w:r>
        <w:rPr>
          <w:rFonts w:ascii="ＭＳ 明朝" w:hAnsi="ＭＳ 明朝"/>
          <w:sz w:val="21"/>
        </w:rPr>
        <w:t xml:space="preserve">  ② 資格・免許を有する場合はその証明書の写し</w:t>
      </w:r>
    </w:p>
    <w:p>
      <w:pPr>
        <w:ind w:left="283"/>
      </w:pPr>
      <w:r>
        <w:rPr>
          <w:rFonts w:ascii="ＭＳ 明朝" w:hAnsi="ＭＳ 明朝"/>
          <w:sz w:val="21"/>
        </w:rPr>
        <w:t xml:space="preserve">  ③ その他会社が必要と認める書類</w:t>
      </w:r>
    </w:p>
    <w:p/>
    <w:p>
      <w:r>
        <w:rPr>
          <w:rFonts w:ascii="游ゴシック" w:hAnsi="游ゴシック"/>
          <w:b/>
          <w:color w:val="1B3A6B"/>
          <w:sz w:val="22"/>
        </w:rPr>
        <w:t>第4条（試用期間）</w:t>
      </w:r>
    </w:p>
    <w:p>
      <w:pPr>
        <w:ind w:left="283"/>
      </w:pPr>
      <w:r>
        <w:rPr>
          <w:rFonts w:ascii="ＭＳ 明朝" w:hAnsi="ＭＳ 明朝"/>
          <w:sz w:val="21"/>
        </w:rPr>
        <w:t>新たに採用した者については、採用の日から【　】ヶ月間を試用期間とする。ただし、会社が特に必要と認めた場合には試用期間を設けないことがある。</w:t>
      </w:r>
    </w:p>
    <w:p/>
    <w:p>
      <w:r>
        <w:rPr>
          <w:rFonts w:ascii="游ゴシック" w:hAnsi="游ゴシック"/>
          <w:b/>
          <w:color w:val="1B3A6B"/>
          <w:sz w:val="26"/>
        </w:rPr>
        <w:t>第3章　労働時間・休憩・休日</w:t>
      </w:r>
    </w:p>
    <w:p>
      <w:r>
        <w:rPr>
          <w:rFonts w:ascii="游ゴシック" w:hAnsi="游ゴシック"/>
          <w:b/>
          <w:color w:val="1B3A6B"/>
          <w:sz w:val="22"/>
        </w:rPr>
        <w:t>第5条（労働時間及び休憩時間）</w:t>
      </w:r>
    </w:p>
    <w:p>
      <w:pPr>
        <w:ind w:left="283"/>
      </w:pPr>
      <w:r>
        <w:rPr>
          <w:rFonts w:ascii="ＭＳ 明朝" w:hAnsi="ＭＳ 明朝"/>
          <w:sz w:val="21"/>
        </w:rPr>
        <w:t>所定労働時間は、1週間について40時間以内、1日について8時間以内とする。</w:t>
      </w:r>
    </w:p>
    <w:p>
      <w:pPr>
        <w:ind w:left="283"/>
      </w:pPr>
      <w:r>
        <w:rPr>
          <w:rFonts w:ascii="ＭＳ 明朝" w:hAnsi="ＭＳ 明朝"/>
          <w:sz w:val="21"/>
        </w:rPr>
        <w:t>始業・終業の時刻及び休憩時間は次のとおりとする。</w:t>
      </w:r>
    </w:p>
    <w:p>
      <w:pPr>
        <w:ind w:left="283"/>
      </w:pPr>
      <w:r>
        <w:rPr>
          <w:rFonts w:ascii="ＭＳ 明朝" w:hAnsi="ＭＳ 明朝"/>
          <w:sz w:val="21"/>
        </w:rPr>
        <w:t xml:space="preserve">  始業時刻  【　　　】時【　　　】分</w:t>
      </w:r>
    </w:p>
    <w:p>
      <w:pPr>
        <w:ind w:left="283"/>
      </w:pPr>
      <w:r>
        <w:rPr>
          <w:rFonts w:ascii="ＭＳ 明朝" w:hAnsi="ＭＳ 明朝"/>
          <w:sz w:val="21"/>
        </w:rPr>
        <w:t xml:space="preserve">  終業時刻  【　　　】時【　　　】分</w:t>
      </w:r>
    </w:p>
    <w:p>
      <w:pPr>
        <w:ind w:left="283"/>
      </w:pPr>
      <w:r>
        <w:rPr>
          <w:rFonts w:ascii="ＭＳ 明朝" w:hAnsi="ＭＳ 明朝"/>
          <w:sz w:val="21"/>
        </w:rPr>
        <w:t xml:space="preserve">  休憩時間  【　　　】時【　　　】分から【　　　】時【　　　】分まで</w:t>
      </w:r>
    </w:p>
    <w:p/>
    <w:p>
      <w:r>
        <w:rPr>
          <w:rFonts w:ascii="游ゴシック" w:hAnsi="游ゴシック"/>
          <w:b/>
          <w:color w:val="1B3A6B"/>
          <w:sz w:val="22"/>
        </w:rPr>
        <w:t>第6条（休日）</w:t>
      </w:r>
    </w:p>
    <w:p>
      <w:pPr>
        <w:ind w:left="283"/>
      </w:pPr>
      <w:r>
        <w:rPr>
          <w:rFonts w:ascii="ＭＳ 明朝" w:hAnsi="ＭＳ 明朝"/>
          <w:sz w:val="21"/>
        </w:rPr>
        <w:t>休日は次のとおりとする。</w:t>
      </w:r>
    </w:p>
    <w:p>
      <w:pPr>
        <w:ind w:left="283"/>
      </w:pPr>
      <w:r>
        <w:rPr>
          <w:rFonts w:ascii="ＭＳ 明朝" w:hAnsi="ＭＳ 明朝"/>
          <w:sz w:val="21"/>
        </w:rPr>
        <w:t xml:space="preserve">  ① 【　　　】曜日（週休2日制の場合は　　曜日も加える）</w:t>
      </w:r>
    </w:p>
    <w:p>
      <w:pPr>
        <w:ind w:left="283"/>
      </w:pPr>
      <w:r>
        <w:rPr>
          <w:rFonts w:ascii="ＭＳ 明朝" w:hAnsi="ＭＳ 明朝"/>
          <w:sz w:val="21"/>
        </w:rPr>
        <w:t xml:space="preserve">  ② 国民の祝日</w:t>
      </w:r>
    </w:p>
    <w:p>
      <w:pPr>
        <w:ind w:left="283"/>
      </w:pPr>
      <w:r>
        <w:rPr>
          <w:rFonts w:ascii="ＭＳ 明朝" w:hAnsi="ＭＳ 明朝"/>
          <w:sz w:val="21"/>
        </w:rPr>
        <w:t xml:space="preserve">  ③ 年末年始（12月【　】日〜1月【　】日）</w:t>
      </w:r>
    </w:p>
    <w:p>
      <w:pPr>
        <w:ind w:left="283"/>
      </w:pPr>
      <w:r>
        <w:rPr>
          <w:rFonts w:ascii="ＭＳ 明朝" w:hAnsi="ＭＳ 明朝"/>
          <w:sz w:val="21"/>
        </w:rPr>
        <w:t xml:space="preserve">  ④ その他会社が指定する日</w:t>
      </w:r>
    </w:p>
    <w:p/>
    <w:p>
      <w:r>
        <w:rPr>
          <w:rFonts w:ascii="游ゴシック" w:hAnsi="游ゴシック"/>
          <w:b/>
          <w:color w:val="1B3A6B"/>
          <w:sz w:val="22"/>
        </w:rPr>
        <w:t>第7条（時間外・休日労働）</w:t>
      </w:r>
    </w:p>
    <w:p>
      <w:pPr>
        <w:ind w:left="283"/>
      </w:pPr>
      <w:r>
        <w:rPr>
          <w:rFonts w:ascii="ＭＳ 明朝" w:hAnsi="ＭＳ 明朝"/>
          <w:sz w:val="21"/>
        </w:rPr>
        <w:t>業務の都合により、労使協定を締結した場合には、時間外又は休日（以下「時間外等」という。）に労働させることがある。</w:t>
      </w:r>
    </w:p>
    <w:p>
      <w:pPr>
        <w:ind w:left="283"/>
      </w:pPr>
      <w:r>
        <w:rPr>
          <w:rFonts w:ascii="ＭＳ 明朝" w:hAnsi="ＭＳ 明朝"/>
          <w:sz w:val="21"/>
        </w:rPr>
        <w:t>時間外等の労働については、割増賃金を支払う。</w:t>
      </w:r>
    </w:p>
    <w:p/>
    <w:p>
      <w:r>
        <w:rPr>
          <w:rFonts w:ascii="游ゴシック" w:hAnsi="游ゴシック"/>
          <w:b/>
          <w:color w:val="1B3A6B"/>
          <w:sz w:val="26"/>
        </w:rPr>
        <w:t>第4章　休暇等</w:t>
      </w:r>
    </w:p>
    <w:p>
      <w:r>
        <w:rPr>
          <w:rFonts w:ascii="游ゴシック" w:hAnsi="游ゴシック"/>
          <w:b/>
          <w:color w:val="1B3A6B"/>
          <w:sz w:val="22"/>
        </w:rPr>
        <w:t>第8条（年次有給休暇）</w:t>
      </w:r>
    </w:p>
    <w:p>
      <w:pPr>
        <w:ind w:left="283"/>
      </w:pPr>
      <w:r>
        <w:rPr>
          <w:rFonts w:ascii="ＭＳ 明朝" w:hAnsi="ＭＳ 明朝"/>
          <w:sz w:val="21"/>
        </w:rPr>
        <w:t>採用日から起算して6ヶ月間継続勤務し、かつ当該期間の全労働日の8割以上出勤した労働者には、10日の年次有給休暇を付与する。</w:t>
      </w:r>
    </w:p>
    <w:p>
      <w:pPr>
        <w:ind w:left="283"/>
      </w:pPr>
      <w:r>
        <w:rPr>
          <w:rFonts w:ascii="ＭＳ 明朝" w:hAnsi="ＭＳ 明朝"/>
          <w:sz w:val="21"/>
        </w:rPr>
        <w:t>年次有給休暇は、労働者が請求する時季に与える。ただし、業務の都合によりやむを得ない場合には、時季を変更することがある。</w:t>
      </w:r>
    </w:p>
    <w:p>
      <w:pPr>
        <w:ind w:left="283"/>
      </w:pPr>
      <w:r>
        <w:rPr>
          <w:rFonts w:ascii="ＭＳ 明朝" w:hAnsi="ＭＳ 明朝"/>
          <w:sz w:val="21"/>
        </w:rPr>
        <w:t>付与日から2年を経過した未使用の年次有給休暇は消滅する。</w:t>
      </w:r>
    </w:p>
    <w:p>
      <w:pPr>
        <w:ind w:left="283"/>
      </w:pPr>
      <w:r>
        <w:rPr>
          <w:rFonts w:ascii="ＭＳ 明朝" w:hAnsi="ＭＳ 明朝"/>
          <w:sz w:val="21"/>
        </w:rPr>
        <w:t>会社は、毎年法令に基づき時季指定により労働者に5日の年次有給休暇を取得させる。</w:t>
      </w:r>
    </w:p>
    <w:p/>
    <w:p>
      <w:r>
        <w:rPr>
          <w:rFonts w:ascii="游ゴシック" w:hAnsi="游ゴシック"/>
          <w:b/>
          <w:color w:val="1B3A6B"/>
          <w:sz w:val="22"/>
        </w:rPr>
        <w:t>第9条（産前産後の休業）</w:t>
      </w:r>
    </w:p>
    <w:p>
      <w:pPr>
        <w:ind w:left="283"/>
      </w:pPr>
      <w:r>
        <w:rPr>
          <w:rFonts w:ascii="ＭＳ 明朝" w:hAnsi="ＭＳ 明朝"/>
          <w:sz w:val="21"/>
        </w:rPr>
        <w:t>6週間（多胎妊娠の場合は14週間）以内に出産予定の女性労働者から請求があった場合は、産前の休業を与える。</w:t>
      </w:r>
    </w:p>
    <w:p>
      <w:pPr>
        <w:ind w:left="283"/>
      </w:pPr>
      <w:r>
        <w:rPr>
          <w:rFonts w:ascii="ＭＳ 明朝" w:hAnsi="ＭＳ 明朝"/>
          <w:sz w:val="21"/>
        </w:rPr>
        <w:t>産後8週間は就業させない（本人が請求し医師が支障ないと認めた業務については産後6週間後から就業させることができる）。</w:t>
      </w:r>
    </w:p>
    <w:p/>
    <w:p>
      <w:r>
        <w:rPr>
          <w:rFonts w:ascii="游ゴシック" w:hAnsi="游ゴシック"/>
          <w:b/>
          <w:color w:val="1B3A6B"/>
          <w:sz w:val="22"/>
        </w:rPr>
        <w:t>第10条（育児休業及び介護休業）</w:t>
      </w:r>
    </w:p>
    <w:p>
      <w:pPr>
        <w:ind w:left="283"/>
      </w:pPr>
      <w:r>
        <w:rPr>
          <w:rFonts w:ascii="ＭＳ 明朝" w:hAnsi="ＭＳ 明朝"/>
          <w:sz w:val="21"/>
        </w:rPr>
        <w:t>育児・介護休業については、「育児・介護休業等に関する規則」（別規定）を定め、その定めに従う。</w:t>
      </w:r>
    </w:p>
    <w:p/>
    <w:p>
      <w:r>
        <w:rPr>
          <w:rFonts w:ascii="游ゴシック" w:hAnsi="游ゴシック"/>
          <w:b/>
          <w:color w:val="1B3A6B"/>
          <w:sz w:val="26"/>
        </w:rPr>
        <w:t>第5章　賃金</w:t>
      </w:r>
    </w:p>
    <w:p>
      <w:r>
        <w:rPr>
          <w:rFonts w:ascii="游ゴシック" w:hAnsi="游ゴシック"/>
          <w:b/>
          <w:color w:val="1B3A6B"/>
          <w:sz w:val="22"/>
        </w:rPr>
        <w:t>第11条（賃金の決定）</w:t>
      </w:r>
    </w:p>
    <w:p>
      <w:pPr>
        <w:ind w:left="283"/>
      </w:pPr>
      <w:r>
        <w:rPr>
          <w:rFonts w:ascii="ＭＳ 明朝" w:hAnsi="ＭＳ 明朝"/>
          <w:sz w:val="21"/>
        </w:rPr>
        <w:t>賃金は、基本給その他の給与で構成し、その詳細は「賃金規程」（別規定）を定め、その定めに従う。</w:t>
      </w:r>
    </w:p>
    <w:p/>
    <w:p>
      <w:r>
        <w:rPr>
          <w:rFonts w:ascii="游ゴシック" w:hAnsi="游ゴシック"/>
          <w:b/>
          <w:color w:val="1B3A6B"/>
          <w:sz w:val="22"/>
        </w:rPr>
        <w:t>第12条（賃金の支払い）</w:t>
      </w:r>
    </w:p>
    <w:p>
      <w:pPr>
        <w:ind w:left="283"/>
      </w:pPr>
      <w:r>
        <w:rPr>
          <w:rFonts w:ascii="ＭＳ 明朝" w:hAnsi="ＭＳ 明朝"/>
          <w:sz w:val="21"/>
        </w:rPr>
        <w:t>賃金の支払時期は、毎月【　】日に締め切り、当月【　】日（当日が休日の場合は直前の平日）に支払う。</w:t>
      </w:r>
    </w:p>
    <w:p>
      <w:pPr>
        <w:ind w:left="283"/>
      </w:pPr>
      <w:r>
        <w:rPr>
          <w:rFonts w:ascii="ＭＳ 明朝" w:hAnsi="ＭＳ 明朝"/>
          <w:sz w:val="21"/>
        </w:rPr>
        <w:t>賃金の支払いは、銀行振込によることができる。</w:t>
      </w:r>
    </w:p>
    <w:p/>
    <w:p>
      <w:r>
        <w:rPr>
          <w:rFonts w:ascii="游ゴシック" w:hAnsi="游ゴシック"/>
          <w:b/>
          <w:color w:val="1B3A6B"/>
          <w:sz w:val="26"/>
        </w:rPr>
        <w:t>第6章　服務規律・ハラスメント防止</w:t>
      </w:r>
    </w:p>
    <w:p>
      <w:r>
        <w:rPr>
          <w:rFonts w:ascii="游ゴシック" w:hAnsi="游ゴシック"/>
          <w:b/>
          <w:color w:val="1B3A6B"/>
          <w:sz w:val="22"/>
        </w:rPr>
        <w:t>第13条（服務規律）</w:t>
      </w:r>
    </w:p>
    <w:p>
      <w:pPr>
        <w:ind w:left="283"/>
      </w:pPr>
      <w:r>
        <w:rPr>
          <w:rFonts w:ascii="ＭＳ 明朝" w:hAnsi="ＭＳ 明朝"/>
          <w:sz w:val="21"/>
        </w:rPr>
        <w:t>労働者は次に掲げる事項を守らなければならない。</w:t>
      </w:r>
    </w:p>
    <w:p>
      <w:pPr>
        <w:ind w:left="283"/>
      </w:pPr>
      <w:r>
        <w:rPr>
          <w:rFonts w:ascii="ＭＳ 明朝" w:hAnsi="ＭＳ 明朝"/>
          <w:sz w:val="21"/>
        </w:rPr>
        <w:t xml:space="preserve">  ① 就業時間中は業務に専念し、みだりに職場を離れないこと</w:t>
      </w:r>
    </w:p>
    <w:p>
      <w:pPr>
        <w:ind w:left="283"/>
      </w:pPr>
      <w:r>
        <w:rPr>
          <w:rFonts w:ascii="ＭＳ 明朝" w:hAnsi="ＭＳ 明朝"/>
          <w:sz w:val="21"/>
        </w:rPr>
        <w:t xml:space="preserve">  ② 職場内の整理整頓に努めること</w:t>
      </w:r>
    </w:p>
    <w:p>
      <w:pPr>
        <w:ind w:left="283"/>
      </w:pPr>
      <w:r>
        <w:rPr>
          <w:rFonts w:ascii="ＭＳ 明朝" w:hAnsi="ＭＳ 明朝"/>
          <w:sz w:val="21"/>
        </w:rPr>
        <w:t xml:space="preserve">  ③ 許可なく会社の施設・設備・備品を私用に供しないこと</w:t>
      </w:r>
    </w:p>
    <w:p>
      <w:pPr>
        <w:ind w:left="283"/>
      </w:pPr>
      <w:r>
        <w:rPr>
          <w:rFonts w:ascii="ＭＳ 明朝" w:hAnsi="ＭＳ 明朝"/>
          <w:sz w:val="21"/>
        </w:rPr>
        <w:t xml:space="preserve">  ④ 在職中及び退職後において、業務上の秘密を第三者に漏らさないこと</w:t>
      </w:r>
    </w:p>
    <w:p>
      <w:pPr>
        <w:ind w:left="283"/>
      </w:pPr>
      <w:r>
        <w:rPr>
          <w:rFonts w:ascii="ＭＳ 明朝" w:hAnsi="ＭＳ 明朝"/>
          <w:sz w:val="21"/>
        </w:rPr>
        <w:t xml:space="preserve">  ⑤ 会社の名誉・信用を傷つける行為をしないこと</w:t>
      </w:r>
    </w:p>
    <w:p/>
    <w:p>
      <w:r>
        <w:rPr>
          <w:rFonts w:ascii="游ゴシック" w:hAnsi="游ゴシック"/>
          <w:b/>
          <w:color w:val="1B3A6B"/>
          <w:sz w:val="22"/>
        </w:rPr>
        <w:t>第14条（ハラスメントの禁止）</w:t>
      </w:r>
    </w:p>
    <w:p>
      <w:pPr>
        <w:ind w:left="283"/>
      </w:pPr>
      <w:r>
        <w:rPr>
          <w:rFonts w:ascii="ＭＳ 明朝" w:hAnsi="ＭＳ 明朝"/>
          <w:sz w:val="21"/>
        </w:rPr>
        <w:t>パワーハラスメント・セクシャルハラスメント・マタニティハラスメントその他のハラスメント行為を禁止する。</w:t>
      </w:r>
    </w:p>
    <w:p>
      <w:pPr>
        <w:ind w:left="283"/>
      </w:pPr>
      <w:r>
        <w:rPr>
          <w:rFonts w:ascii="ＭＳ 明朝" w:hAnsi="ＭＳ 明朝"/>
          <w:sz w:val="21"/>
        </w:rPr>
        <w:t>会社は、ハラスメントに関する相談窓口を設置し、適切に対応する。</w:t>
      </w:r>
    </w:p>
    <w:p/>
    <w:p>
      <w:r>
        <w:rPr>
          <w:rFonts w:ascii="游ゴシック" w:hAnsi="游ゴシック"/>
          <w:b/>
          <w:color w:val="1B3A6B"/>
          <w:sz w:val="22"/>
        </w:rPr>
        <w:t>第15条（カスタマーハラスメント対策）</w:t>
      </w:r>
    </w:p>
    <w:p>
      <w:pPr>
        <w:ind w:left="283"/>
      </w:pPr>
      <w:r>
        <w:rPr>
          <w:rFonts w:ascii="ＭＳ 明朝" w:hAnsi="ＭＳ 明朝"/>
          <w:sz w:val="21"/>
        </w:rPr>
        <w:t>会社は、顧客・取引先・利用者等の言動により従業員の就業環境が害されることを防止するため、カスタマーハラスメント（カスハラ）対策を講じる。</w:t>
      </w:r>
    </w:p>
    <w:p>
      <w:pPr>
        <w:ind w:left="283"/>
      </w:pPr>
      <w:r>
        <w:rPr>
          <w:rFonts w:ascii="ＭＳ 明朝" w:hAnsi="ＭＳ 明朝"/>
          <w:sz w:val="21"/>
        </w:rPr>
        <w:t xml:space="preserve">  ① カスハラを容認せず従業員を守る旨の基本方針を定め、全従業員に周知する。</w:t>
      </w:r>
    </w:p>
    <w:p>
      <w:pPr>
        <w:ind w:left="283"/>
      </w:pPr>
      <w:r>
        <w:rPr>
          <w:rFonts w:ascii="ＭＳ 明朝" w:hAnsi="ＭＳ 明朝"/>
          <w:sz w:val="21"/>
        </w:rPr>
        <w:t xml:space="preserve">  ② 相談窓口を設置し、従業員が相談しやすい体制を整備する。</w:t>
      </w:r>
    </w:p>
    <w:p>
      <w:pPr>
        <w:ind w:left="283"/>
      </w:pPr>
      <w:r>
        <w:rPr>
          <w:rFonts w:ascii="ＭＳ 明朝" w:hAnsi="ＭＳ 明朝"/>
          <w:sz w:val="21"/>
        </w:rPr>
        <w:t xml:space="preserve">  ③ 相談内容について事実確認を行い、必要な措置（被害者支援・再発防止）を講じる。</w:t>
      </w:r>
    </w:p>
    <w:p>
      <w:pPr>
        <w:ind w:left="283"/>
      </w:pPr>
      <w:r>
        <w:rPr>
          <w:rFonts w:ascii="ＭＳ 明朝" w:hAnsi="ＭＳ 明朝"/>
          <w:sz w:val="21"/>
        </w:rPr>
        <w:t xml:space="preserve">  ④ 悪質なカスハラには警察への通報・弁護士への相談等の法的措置を含む毅然とした対応を行う。</w:t>
      </w:r>
    </w:p>
    <w:p>
      <w:pPr>
        <w:ind w:left="283"/>
      </w:pPr>
      <w:r>
        <w:rPr>
          <w:rFonts w:ascii="ＭＳ 明朝" w:hAnsi="ＭＳ 明朝"/>
          <w:sz w:val="21"/>
        </w:rPr>
        <w:t xml:space="preserve">  ⑤ 相談した従業員を理由として不利益な取扱いを行わない。</w:t>
      </w:r>
    </w:p>
    <w:p>
      <w:pPr>
        <w:ind w:left="283"/>
      </w:pPr>
      <w:r>
        <w:rPr>
          <w:rFonts w:ascii="ＭＳ 明朝" w:hAnsi="ＭＳ 明朝"/>
          <w:sz w:val="21"/>
        </w:rPr>
        <w:t>（注）2026年10月1日施行予定の労働施策総合推進法改正により、事業主にカスハラ防止措置が義務化される予定です。</w:t>
      </w:r>
    </w:p>
    <w:p/>
    <w:p>
      <w:r>
        <w:rPr>
          <w:rFonts w:ascii="游ゴシック" w:hAnsi="游ゴシック"/>
          <w:b/>
          <w:color w:val="1B3A6B"/>
          <w:sz w:val="26"/>
        </w:rPr>
        <w:t>第7章　退職・解雇</w:t>
      </w:r>
    </w:p>
    <w:p>
      <w:r>
        <w:rPr>
          <w:rFonts w:ascii="游ゴシック" w:hAnsi="游ゴシック"/>
          <w:b/>
          <w:color w:val="1B3A6B"/>
          <w:sz w:val="22"/>
        </w:rPr>
        <w:t>第16条（退職）</w:t>
      </w:r>
    </w:p>
    <w:p>
      <w:pPr>
        <w:ind w:left="283"/>
      </w:pPr>
      <w:r>
        <w:rPr>
          <w:rFonts w:ascii="ＭＳ 明朝" w:hAnsi="ＭＳ 明朝"/>
          <w:sz w:val="21"/>
        </w:rPr>
        <w:t>労働者が次のいずれかに該当するときは退職とする。</w:t>
      </w:r>
    </w:p>
    <w:p>
      <w:pPr>
        <w:ind w:left="283"/>
      </w:pPr>
      <w:r>
        <w:rPr>
          <w:rFonts w:ascii="ＭＳ 明朝" w:hAnsi="ＭＳ 明朝"/>
          <w:sz w:val="21"/>
        </w:rPr>
        <w:t xml:space="preserve">  ① 退職を申し出て会社が承認したとき（申出から少なくとも【　】日前に申し出ること）</w:t>
      </w:r>
    </w:p>
    <w:p>
      <w:pPr>
        <w:ind w:left="283"/>
      </w:pPr>
      <w:r>
        <w:rPr>
          <w:rFonts w:ascii="ＭＳ 明朝" w:hAnsi="ＭＳ 明朝"/>
          <w:sz w:val="21"/>
        </w:rPr>
        <w:t xml:space="preserve">  ② 定年に達したとき（定年は満【60】歳とする）</w:t>
      </w:r>
    </w:p>
    <w:p>
      <w:pPr>
        <w:ind w:left="283"/>
      </w:pPr>
      <w:r>
        <w:rPr>
          <w:rFonts w:ascii="ＭＳ 明朝" w:hAnsi="ＭＳ 明朝"/>
          <w:sz w:val="21"/>
        </w:rPr>
        <w:t xml:space="preserve">  ③ 期間を定めて雇用された者について、その期間が満了したとき</w:t>
      </w:r>
    </w:p>
    <w:p>
      <w:pPr>
        <w:ind w:left="283"/>
      </w:pPr>
      <w:r>
        <w:rPr>
          <w:rFonts w:ascii="ＭＳ 明朝" w:hAnsi="ＭＳ 明朝"/>
          <w:sz w:val="21"/>
        </w:rPr>
        <w:t xml:space="preserve">  ④ 死亡したとき</w:t>
      </w:r>
    </w:p>
    <w:p/>
    <w:p>
      <w:r>
        <w:rPr>
          <w:rFonts w:ascii="游ゴシック" w:hAnsi="游ゴシック"/>
          <w:b/>
          <w:color w:val="1B3A6B"/>
          <w:sz w:val="22"/>
        </w:rPr>
        <w:t>第17条（解雇）</w:t>
      </w:r>
    </w:p>
    <w:p>
      <w:pPr>
        <w:ind w:left="283"/>
      </w:pPr>
      <w:r>
        <w:rPr>
          <w:rFonts w:ascii="ＭＳ 明朝" w:hAnsi="ＭＳ 明朝"/>
          <w:sz w:val="21"/>
        </w:rPr>
        <w:t>会社は、次のいずれかに該当する場合は労働者を解雇することがある。</w:t>
      </w:r>
    </w:p>
    <w:p>
      <w:pPr>
        <w:ind w:left="283"/>
      </w:pPr>
      <w:r>
        <w:rPr>
          <w:rFonts w:ascii="ＭＳ 明朝" w:hAnsi="ＭＳ 明朝"/>
          <w:sz w:val="21"/>
        </w:rPr>
        <w:t xml:space="preserve">  ① 身体・精神の障害により業務に耐えられないとき</w:t>
      </w:r>
    </w:p>
    <w:p>
      <w:pPr>
        <w:ind w:left="283"/>
      </w:pPr>
      <w:r>
        <w:rPr>
          <w:rFonts w:ascii="ＭＳ 明朝" w:hAnsi="ＭＳ 明朝"/>
          <w:sz w:val="21"/>
        </w:rPr>
        <w:t xml:space="preserve">  ② 勤務成績又は業務能率が著しく不良のとき</w:t>
      </w:r>
    </w:p>
    <w:p>
      <w:pPr>
        <w:ind w:left="283"/>
      </w:pPr>
      <w:r>
        <w:rPr>
          <w:rFonts w:ascii="ＭＳ 明朝" w:hAnsi="ＭＳ 明朝"/>
          <w:sz w:val="21"/>
        </w:rPr>
        <w:t xml:space="preserve">  ③ この規則に違反する行為を行ったとき</w:t>
      </w:r>
    </w:p>
    <w:p>
      <w:pPr>
        <w:ind w:left="283"/>
      </w:pPr>
      <w:r>
        <w:rPr>
          <w:rFonts w:ascii="ＭＳ 明朝" w:hAnsi="ＭＳ 明朝"/>
          <w:sz w:val="21"/>
        </w:rPr>
        <w:t xml:space="preserve">  ④ 事業の都合によりやむを得ないとき</w:t>
      </w:r>
    </w:p>
    <w:p>
      <w:pPr>
        <w:ind w:left="283"/>
      </w:pPr>
      <w:r>
        <w:rPr>
          <w:rFonts w:ascii="ＭＳ 明朝" w:hAnsi="ＭＳ 明朝"/>
          <w:sz w:val="21"/>
        </w:rPr>
        <w:t>解雇する場合は、少なくとも30日前に予告するか、予告手当（30日分以上の平均賃金）を支払う。</w:t>
      </w:r>
    </w:p>
    <w:p/>
    <w:p>
      <w:r>
        <w:rPr>
          <w:rFonts w:ascii="游ゴシック" w:hAnsi="游ゴシック"/>
          <w:b/>
          <w:color w:val="1B3A6B"/>
          <w:sz w:val="26"/>
        </w:rPr>
        <w:t>附則</w:t>
      </w:r>
    </w:p>
    <w:p>
      <w:r>
        <w:rPr>
          <w:rFonts w:ascii="ＭＳ 明朝" w:hAnsi="ＭＳ 明朝"/>
          <w:color w:val="2C3E50"/>
          <w:sz w:val="21"/>
        </w:rPr>
        <w:t>この規則は、　　　年　　月　　日から施行する。</w:t>
      </w:r>
    </w:p>
    <w:p/>
    <w:p>
      <w:r>
        <w:rPr>
          <w:rFonts w:ascii="ＭＳ 明朝" w:hAnsi="ＭＳ 明朝"/>
          <w:color w:val="2C3E50"/>
          <w:sz w:val="18"/>
        </w:rPr>
        <w:t>【本テンプレートは厚生労働省モデル就業規則（令和7年12月版）を参考に作成しています。法改正・自社の実態に合わせてカスタマイズの上、必要に応じ社会保険労務士・弁護士にご相談ください。】</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