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就業規則（詳細版）</w:t>
      </w:r>
    </w:p>
    <w:p>
      <w:pPr>
        <w:jc w:val="center"/>
      </w:pPr>
      <w:r>
        <w:rPr>
          <w:rFonts w:ascii="游ゴシック" w:hAnsi="游ゴシック"/>
          <w:color w:val="707070"/>
          <w:sz w:val="22"/>
        </w:rPr>
        <w:t>50人以上規模・カスハラ対策規定・副業兼業・育児介護改正2025年対応</w:t>
      </w:r>
    </w:p>
    <w:p/>
    <w:p>
      <w:pPr>
        <w:jc w:val="right"/>
      </w:pPr>
      <w:r>
        <w:rPr>
          <w:rFonts w:ascii="ＭＳ 明朝" w:hAnsi="ＭＳ 明朝"/>
          <w:sz w:val="21"/>
        </w:rPr>
        <w:t>【会社名】</w:t>
      </w:r>
    </w:p>
    <w:p>
      <w:pPr>
        <w:jc w:val="right"/>
      </w:pPr>
      <w:r>
        <w:rPr>
          <w:rFonts w:ascii="ＭＳ 明朝" w:hAnsi="ＭＳ 明朝"/>
          <w:color w:val="707070"/>
          <w:sz w:val="20"/>
        </w:rPr>
        <w:t>制定日: 　　年　月　日　　改定日: 　　年　月　日</w:t>
      </w:r>
    </w:p>
    <w:p/>
    <w:p>
      <w:r>
        <w:rPr>
          <w:rFonts w:ascii="ＭＳ 明朝" w:hAnsi="ＭＳ 明朝"/>
          <w:color w:val="2C3E50"/>
          <w:sz w:val="21"/>
        </w:rPr>
        <w:t>【このテンプレートの使い方】</w:t>
      </w:r>
    </w:p>
    <w:p>
      <w:r>
        <w:rPr>
          <w:rFonts w:ascii="ＭＳ 明朝" w:hAnsi="ＭＳ 明朝"/>
          <w:color w:val="2C3E50"/>
          <w:sz w:val="20"/>
        </w:rPr>
        <w:t>本テンプレートは従業員50人以上規模向けの詳細版就業規則です。常時10人以上の事業場では労働基準監督署への届出（従業員代表の意見書添付）が義務です（労基法89・90条）。各条文を自社の実態・法令に合わせてカスタマイズの上、必ず社会保険労務士・弁護士に確認してから届出・施行してください。</w:t>
      </w:r>
    </w:p>
    <w:p/>
    <w:p>
      <w:r>
        <w:rPr>
          <w:rFonts w:ascii="游ゴシック" w:hAnsi="游ゴシック"/>
          <w:b/>
          <w:color w:val="1B3A6B"/>
          <w:sz w:val="26"/>
        </w:rPr>
        <w:t>第1章　総則</w:t>
      </w:r>
    </w:p>
    <w:p>
      <w:r>
        <w:rPr>
          <w:rFonts w:ascii="游ゴシック" w:hAnsi="游ゴシック"/>
          <w:b/>
          <w:color w:val="1B3A6B"/>
          <w:sz w:val="22"/>
        </w:rPr>
        <w:t>第1条（目的）</w:t>
      </w:r>
    </w:p>
    <w:p>
      <w:pPr>
        <w:ind w:left="283"/>
      </w:pPr>
      <w:r>
        <w:rPr>
          <w:rFonts w:ascii="ＭＳ 明朝" w:hAnsi="ＭＳ 明朝"/>
          <w:sz w:val="21"/>
        </w:rPr>
        <w:t>この就業規則（以下「規則」という。）は、【会社名】（以下「会社」という。）の労働者の労働条件、服務規律その他の就業に関する事項を定めるものである。</w:t>
      </w:r>
    </w:p>
    <w:p/>
    <w:p>
      <w:r>
        <w:rPr>
          <w:rFonts w:ascii="游ゴシック" w:hAnsi="游ゴシック"/>
          <w:b/>
          <w:color w:val="1B3A6B"/>
          <w:sz w:val="22"/>
        </w:rPr>
        <w:t>第2条（適用範囲）</w:t>
      </w:r>
    </w:p>
    <w:p>
      <w:pPr>
        <w:ind w:left="283"/>
      </w:pPr>
      <w:r>
        <w:rPr>
          <w:rFonts w:ascii="ＭＳ 明朝" w:hAnsi="ＭＳ 明朝"/>
          <w:sz w:val="21"/>
        </w:rPr>
        <w:t>この規則は、会社のすべての正社員に適用する。パートタイム・有期雇用労働者については「パートタイム・有期雇用就業規則」（別規定）を定め、その定めに従う。</w:t>
      </w:r>
    </w:p>
    <w:p/>
    <w:p>
      <w:r>
        <w:rPr>
          <w:rFonts w:ascii="游ゴシック" w:hAnsi="游ゴシック"/>
          <w:b/>
          <w:color w:val="1B3A6B"/>
          <w:sz w:val="22"/>
        </w:rPr>
        <w:t>第3条（労働条件の明示）</w:t>
      </w:r>
    </w:p>
    <w:p>
      <w:pPr>
        <w:ind w:left="283"/>
      </w:pPr>
      <w:r>
        <w:rPr>
          <w:rFonts w:ascii="ＭＳ 明朝" w:hAnsi="ＭＳ 明朝"/>
          <w:sz w:val="21"/>
        </w:rPr>
        <w:t>会社は、労働者の採用時に、この規則に定める労働条件を明示するものとする（労働基準法第15条）。</w:t>
      </w:r>
    </w:p>
    <w:p/>
    <w:p>
      <w:r>
        <w:rPr>
          <w:rFonts w:ascii="游ゴシック" w:hAnsi="游ゴシック"/>
          <w:b/>
          <w:color w:val="1B3A6B"/>
          <w:sz w:val="26"/>
        </w:rPr>
        <w:t>第2章　採用・異動等</w:t>
      </w:r>
    </w:p>
    <w:p>
      <w:r>
        <w:rPr>
          <w:rFonts w:ascii="游ゴシック" w:hAnsi="游ゴシック"/>
          <w:b/>
          <w:color w:val="1B3A6B"/>
          <w:sz w:val="22"/>
        </w:rPr>
        <w:t>第4条（採用）</w:t>
      </w:r>
    </w:p>
    <w:p>
      <w:pPr>
        <w:ind w:left="283"/>
      </w:pPr>
      <w:r>
        <w:rPr>
          <w:rFonts w:ascii="ＭＳ 明朝" w:hAnsi="ＭＳ 明朝"/>
          <w:sz w:val="21"/>
        </w:rPr>
        <w:t>会社は選考試験に合格した者を採用する。採用にあたっては所定の提出書類を求める。</w:t>
      </w:r>
    </w:p>
    <w:p/>
    <w:p>
      <w:r>
        <w:rPr>
          <w:rFonts w:ascii="游ゴシック" w:hAnsi="游ゴシック"/>
          <w:b/>
          <w:color w:val="1B3A6B"/>
          <w:sz w:val="22"/>
        </w:rPr>
        <w:t>第5条（試用期間）</w:t>
      </w:r>
    </w:p>
    <w:p>
      <w:pPr>
        <w:ind w:left="283"/>
      </w:pPr>
      <w:r>
        <w:rPr>
          <w:rFonts w:ascii="ＭＳ 明朝" w:hAnsi="ＭＳ 明朝"/>
          <w:sz w:val="21"/>
        </w:rPr>
        <w:t>採用日から【3】ヶ月間を試用期間とする。試用期間中も就業規則は全面的に適用される。</w:t>
      </w:r>
    </w:p>
    <w:p/>
    <w:p>
      <w:r>
        <w:rPr>
          <w:rFonts w:ascii="游ゴシック" w:hAnsi="游ゴシック"/>
          <w:b/>
          <w:color w:val="1B3A6B"/>
          <w:sz w:val="22"/>
        </w:rPr>
        <w:t>第6条（人事異動・出向）</w:t>
      </w:r>
    </w:p>
    <w:p>
      <w:pPr>
        <w:ind w:left="283"/>
      </w:pPr>
      <w:r>
        <w:rPr>
          <w:rFonts w:ascii="ＭＳ 明朝" w:hAnsi="ＭＳ 明朝"/>
          <w:sz w:val="21"/>
        </w:rPr>
        <w:t>会社は業務上の必要がある場合、配置転換・出向・転勤・職種変更等の人事異動を命じることがある。</w:t>
      </w:r>
    </w:p>
    <w:p>
      <w:pPr>
        <w:ind w:left="283"/>
      </w:pPr>
      <w:r>
        <w:rPr>
          <w:rFonts w:ascii="ＭＳ 明朝" w:hAnsi="ＭＳ 明朝"/>
          <w:sz w:val="21"/>
        </w:rPr>
        <w:t>正当な理由のない人事異動命令の拒否は服務規律違反となる場合がある。</w:t>
      </w:r>
    </w:p>
    <w:p/>
    <w:p>
      <w:r>
        <w:rPr>
          <w:rFonts w:ascii="游ゴシック" w:hAnsi="游ゴシック"/>
          <w:b/>
          <w:color w:val="1B3A6B"/>
          <w:sz w:val="22"/>
        </w:rPr>
        <w:t>第7条（副業・兼業）</w:t>
      </w:r>
    </w:p>
    <w:p>
      <w:pPr>
        <w:ind w:left="283"/>
      </w:pPr>
      <w:r>
        <w:rPr>
          <w:rFonts w:ascii="ＭＳ 明朝" w:hAnsi="ＭＳ 明朝"/>
          <w:sz w:val="21"/>
        </w:rPr>
        <w:t>労働者は、勤務時間外において他の会社等の業務に従事することができる（副業・兼業の原則認可）。</w:t>
      </w:r>
    </w:p>
    <w:p>
      <w:pPr>
        <w:ind w:left="283"/>
      </w:pPr>
      <w:r>
        <w:rPr>
          <w:rFonts w:ascii="ＭＳ 明朝" w:hAnsi="ＭＳ 明朝"/>
          <w:sz w:val="21"/>
        </w:rPr>
        <w:t>ただし、次のいずれかに該当する場合は会社はこれを禁止又は制限することができる。</w:t>
      </w:r>
    </w:p>
    <w:p>
      <w:pPr>
        <w:ind w:left="283"/>
      </w:pPr>
      <w:r>
        <w:rPr>
          <w:rFonts w:ascii="ＭＳ 明朝" w:hAnsi="ＭＳ 明朝"/>
          <w:sz w:val="21"/>
        </w:rPr>
        <w:t xml:space="preserve">  ① 労務提供上の支障がある場合</w:t>
      </w:r>
    </w:p>
    <w:p>
      <w:pPr>
        <w:ind w:left="283"/>
      </w:pPr>
      <w:r>
        <w:rPr>
          <w:rFonts w:ascii="ＭＳ 明朝" w:hAnsi="ＭＳ 明朝"/>
          <w:sz w:val="21"/>
        </w:rPr>
        <w:t xml:space="preserve">  ② 会社の業務上の秘密が漏洩する場合</w:t>
      </w:r>
    </w:p>
    <w:p>
      <w:pPr>
        <w:ind w:left="283"/>
      </w:pPr>
      <w:r>
        <w:rPr>
          <w:rFonts w:ascii="ＭＳ 明朝" w:hAnsi="ＭＳ 明朝"/>
          <w:sz w:val="21"/>
        </w:rPr>
        <w:t xml:space="preserve">  ③ 会社の名誉・信用を損なう行為や信頼関係を破壊する行為がある場合</w:t>
      </w:r>
    </w:p>
    <w:p>
      <w:pPr>
        <w:ind w:left="283"/>
      </w:pPr>
      <w:r>
        <w:rPr>
          <w:rFonts w:ascii="ＭＳ 明朝" w:hAnsi="ＭＳ 明朝"/>
          <w:sz w:val="21"/>
        </w:rPr>
        <w:t xml:space="preserve">  ④ 競業により会社の利益を害する場合</w:t>
      </w:r>
    </w:p>
    <w:p>
      <w:pPr>
        <w:ind w:left="283"/>
      </w:pPr>
      <w:r>
        <w:rPr>
          <w:rFonts w:ascii="ＭＳ 明朝" w:hAnsi="ＭＳ 明朝"/>
          <w:sz w:val="21"/>
        </w:rPr>
        <w:t>副業・兼業を行う場合は、事前に会社所定の申告書を提出するものとする。</w:t>
      </w:r>
    </w:p>
    <w:p>
      <w:pPr>
        <w:ind w:left="283"/>
      </w:pPr>
      <w:r>
        <w:rPr>
          <w:rFonts w:ascii="ＭＳ 明朝" w:hAnsi="ＭＳ 明朝"/>
          <w:sz w:val="21"/>
        </w:rPr>
        <w:t>会社は副業・兼業労働者の健康管理のため、必要に応じて健康診断の実施・過重労働の防止措置を講じる。</w:t>
      </w:r>
    </w:p>
    <w:p>
      <w:pPr>
        <w:ind w:left="283"/>
      </w:pPr>
      <w:r>
        <w:rPr>
          <w:rFonts w:ascii="ＭＳ 明朝" w:hAnsi="ＭＳ 明朝"/>
          <w:sz w:val="21"/>
        </w:rPr>
        <w:t>（根拠）厚生労働省「副業・兼業の促進に関するガイドライン」（2022年7月改訂）・モデル就業規則第70条</w:t>
      </w:r>
    </w:p>
    <w:p/>
    <w:p>
      <w:r>
        <w:rPr>
          <w:rFonts w:ascii="游ゴシック" w:hAnsi="游ゴシック"/>
          <w:b/>
          <w:color w:val="1B3A6B"/>
          <w:sz w:val="26"/>
        </w:rPr>
        <w:t>第3章　労働時間・休憩・休日</w:t>
      </w:r>
    </w:p>
    <w:p>
      <w:r>
        <w:rPr>
          <w:rFonts w:ascii="游ゴシック" w:hAnsi="游ゴシック"/>
          <w:b/>
          <w:color w:val="1B3A6B"/>
          <w:sz w:val="22"/>
        </w:rPr>
        <w:t>第8条（所定労働時間）</w:t>
      </w:r>
    </w:p>
    <w:p>
      <w:pPr>
        <w:ind w:left="283"/>
      </w:pPr>
      <w:r>
        <w:rPr>
          <w:rFonts w:ascii="ＭＳ 明朝" w:hAnsi="ＭＳ 明朝"/>
          <w:sz w:val="21"/>
        </w:rPr>
        <w:t>所定労働時間は1日8時間・週40時間とする。</w:t>
      </w:r>
    </w:p>
    <w:p>
      <w:pPr>
        <w:ind w:left="283"/>
      </w:pPr>
      <w:r>
        <w:rPr>
          <w:rFonts w:ascii="ＭＳ 明朝" w:hAnsi="ＭＳ 明朝"/>
          <w:sz w:val="21"/>
        </w:rPr>
        <w:t>始業・終業時刻: 【　　】時【　　】分 〜 【　　】時【　　】分</w:t>
      </w:r>
    </w:p>
    <w:p>
      <w:pPr>
        <w:ind w:left="283"/>
      </w:pPr>
      <w:r>
        <w:rPr>
          <w:rFonts w:ascii="ＭＳ 明朝" w:hAnsi="ＭＳ 明朝"/>
          <w:sz w:val="21"/>
        </w:rPr>
        <w:t>休憩時間: 【　　】時【　　】分 〜 【　　】時【　　】分（60分）</w:t>
      </w:r>
    </w:p>
    <w:p>
      <w:pPr>
        <w:ind w:left="283"/>
      </w:pPr>
      <w:r>
        <w:rPr>
          <w:rFonts w:ascii="ＭＳ 明朝" w:hAnsi="ＭＳ 明朝"/>
          <w:sz w:val="21"/>
        </w:rPr>
        <w:t>業務の都合により始業・終業時刻を繰り上げ・繰り下げることがある。</w:t>
      </w:r>
    </w:p>
    <w:p/>
    <w:p>
      <w:r>
        <w:rPr>
          <w:rFonts w:ascii="游ゴシック" w:hAnsi="游ゴシック"/>
          <w:b/>
          <w:color w:val="1B3A6B"/>
          <w:sz w:val="22"/>
        </w:rPr>
        <w:t>第9条（フレックスタイム制（採用する場合））</w:t>
      </w:r>
    </w:p>
    <w:p>
      <w:pPr>
        <w:ind w:left="283"/>
      </w:pPr>
      <w:r>
        <w:rPr>
          <w:rFonts w:ascii="ＭＳ 明朝" w:hAnsi="ＭＳ 明朝"/>
          <w:sz w:val="21"/>
        </w:rPr>
        <w:t>フレックスタイム制を採用する場合は「フレックスタイム制に関する規程」（別規定）を定め、その定めに従う。</w:t>
      </w:r>
    </w:p>
    <w:p>
      <w:pPr>
        <w:ind w:left="283"/>
      </w:pPr>
      <w:r>
        <w:rPr>
          <w:rFonts w:ascii="ＭＳ 明朝" w:hAnsi="ＭＳ 明朝"/>
          <w:sz w:val="21"/>
        </w:rPr>
        <w:t>コアタイム: 【　　】時〜【　　】時（この時間帯は必ず勤務）</w:t>
      </w:r>
    </w:p>
    <w:p/>
    <w:p>
      <w:r>
        <w:rPr>
          <w:rFonts w:ascii="游ゴシック" w:hAnsi="游ゴシック"/>
          <w:b/>
          <w:color w:val="1B3A6B"/>
          <w:sz w:val="22"/>
        </w:rPr>
        <w:t>第10条（休日）</w:t>
      </w:r>
    </w:p>
    <w:p>
      <w:pPr>
        <w:ind w:left="283"/>
      </w:pPr>
      <w:r>
        <w:rPr>
          <w:rFonts w:ascii="ＭＳ 明朝" w:hAnsi="ＭＳ 明朝"/>
          <w:sz w:val="21"/>
        </w:rPr>
        <w:t>休日は次のとおりとする。</w:t>
      </w:r>
    </w:p>
    <w:p>
      <w:pPr>
        <w:ind w:left="283"/>
      </w:pPr>
      <w:r>
        <w:rPr>
          <w:rFonts w:ascii="ＭＳ 明朝" w:hAnsi="ＭＳ 明朝"/>
          <w:sz w:val="21"/>
        </w:rPr>
        <w:t xml:space="preserve">  ① 土曜日・日曜日</w:t>
      </w:r>
    </w:p>
    <w:p>
      <w:pPr>
        <w:ind w:left="283"/>
      </w:pPr>
      <w:r>
        <w:rPr>
          <w:rFonts w:ascii="ＭＳ 明朝" w:hAnsi="ＭＳ 明朝"/>
          <w:sz w:val="21"/>
        </w:rPr>
        <w:t xml:space="preserve">  ② 国民の祝日</w:t>
      </w:r>
    </w:p>
    <w:p>
      <w:pPr>
        <w:ind w:left="283"/>
      </w:pPr>
      <w:r>
        <w:rPr>
          <w:rFonts w:ascii="ＭＳ 明朝" w:hAnsi="ＭＳ 明朝"/>
          <w:sz w:val="21"/>
        </w:rPr>
        <w:t xml:space="preserve">  ③ 年末年始（12月29日〜1月3日）</w:t>
      </w:r>
    </w:p>
    <w:p>
      <w:pPr>
        <w:ind w:left="283"/>
      </w:pPr>
      <w:r>
        <w:rPr>
          <w:rFonts w:ascii="ＭＳ 明朝" w:hAnsi="ＭＳ 明朝"/>
          <w:sz w:val="21"/>
        </w:rPr>
        <w:t xml:space="preserve">  ④ 夏季休暇（8月【　】日〜【　】日）</w:t>
      </w:r>
    </w:p>
    <w:p>
      <w:pPr>
        <w:ind w:left="283"/>
      </w:pPr>
      <w:r>
        <w:rPr>
          <w:rFonts w:ascii="ＭＳ 明朝" w:hAnsi="ＭＳ 明朝"/>
          <w:sz w:val="21"/>
        </w:rPr>
        <w:t xml:space="preserve">  ⑤ その他会社が指定する日</w:t>
      </w:r>
    </w:p>
    <w:p/>
    <w:p>
      <w:r>
        <w:rPr>
          <w:rFonts w:ascii="游ゴシック" w:hAnsi="游ゴシック"/>
          <w:b/>
          <w:color w:val="1B3A6B"/>
          <w:sz w:val="22"/>
        </w:rPr>
        <w:t>第11条（時間外・休日労働）</w:t>
      </w:r>
    </w:p>
    <w:p>
      <w:pPr>
        <w:ind w:left="283"/>
      </w:pPr>
      <w:r>
        <w:rPr>
          <w:rFonts w:ascii="ＭＳ 明朝" w:hAnsi="ＭＳ 明朝"/>
          <w:sz w:val="21"/>
        </w:rPr>
        <w:t>労使協定（36協定）を締結・届出した範囲内で時間外・休日労働を命じることがある。</w:t>
      </w:r>
    </w:p>
    <w:p>
      <w:pPr>
        <w:ind w:left="283"/>
      </w:pPr>
      <w:r>
        <w:rPr>
          <w:rFonts w:ascii="ＭＳ 明朝" w:hAnsi="ＭＳ 明朝"/>
          <w:sz w:val="21"/>
        </w:rPr>
        <w:t>時間外労働の上限: 原則月45時間・年360時間。特別条項あり: 月100時間未満・年720時間以内（複数月平均80時間以内）。</w:t>
      </w:r>
    </w:p>
    <w:p>
      <w:pPr>
        <w:ind w:left="283"/>
      </w:pPr>
      <w:r>
        <w:rPr>
          <w:rFonts w:ascii="ＭＳ 明朝" w:hAnsi="ＭＳ 明朝"/>
          <w:sz w:val="21"/>
        </w:rPr>
        <w:t>時間外・深夜・休日労働に対し法定の割増賃金を支払う。</w:t>
      </w:r>
    </w:p>
    <w:p/>
    <w:p>
      <w:r>
        <w:rPr>
          <w:rFonts w:ascii="游ゴシック" w:hAnsi="游ゴシック"/>
          <w:b/>
          <w:color w:val="1B3A6B"/>
          <w:sz w:val="26"/>
        </w:rPr>
        <w:t>第4章　休暇・休業</w:t>
      </w:r>
    </w:p>
    <w:p>
      <w:r>
        <w:rPr>
          <w:rFonts w:ascii="游ゴシック" w:hAnsi="游ゴシック"/>
          <w:b/>
          <w:color w:val="1B3A6B"/>
          <w:sz w:val="22"/>
        </w:rPr>
        <w:t>第12条（年次有給休暇）</w:t>
      </w:r>
    </w:p>
    <w:p>
      <w:pPr>
        <w:ind w:left="283"/>
      </w:pPr>
      <w:r>
        <w:rPr>
          <w:rFonts w:ascii="ＭＳ 明朝" w:hAnsi="ＭＳ 明朝"/>
          <w:sz w:val="21"/>
        </w:rPr>
        <w:t>採用日から6ヶ月継続勤務かつ8割以上出勤した者に10日の有給休暇を付与（以後は勤続年数に応じ最大20日）。</w:t>
      </w:r>
    </w:p>
    <w:p>
      <w:pPr>
        <w:ind w:left="283"/>
      </w:pPr>
      <w:r>
        <w:rPr>
          <w:rFonts w:ascii="ＭＳ 明朝" w:hAnsi="ＭＳ 明朝"/>
          <w:sz w:val="21"/>
        </w:rPr>
        <w:t>時季指定による年5日取得を義務として実施する（労基法39条）。</w:t>
      </w:r>
    </w:p>
    <w:p>
      <w:pPr>
        <w:ind w:left="283"/>
      </w:pPr>
      <w:r>
        <w:rPr>
          <w:rFonts w:ascii="ＭＳ 明朝" w:hAnsi="ＭＳ 明朝"/>
          <w:sz w:val="21"/>
        </w:rPr>
        <w:t>時間単位有給休暇を【　】時間まで認める（労使協定締結が必要）。</w:t>
      </w:r>
    </w:p>
    <w:p/>
    <w:p>
      <w:r>
        <w:rPr>
          <w:rFonts w:ascii="游ゴシック" w:hAnsi="游ゴシック"/>
          <w:b/>
          <w:color w:val="1B3A6B"/>
          <w:sz w:val="22"/>
        </w:rPr>
        <w:t>第13条（産前産後休業）</w:t>
      </w:r>
    </w:p>
    <w:p>
      <w:pPr>
        <w:ind w:left="283"/>
      </w:pPr>
      <w:r>
        <w:rPr>
          <w:rFonts w:ascii="ＭＳ 明朝" w:hAnsi="ＭＳ 明朝"/>
          <w:sz w:val="21"/>
        </w:rPr>
        <w:t>産前6週間・産後8週間の休業を付与する（労基法65条）。</w:t>
      </w:r>
    </w:p>
    <w:p/>
    <w:p>
      <w:r>
        <w:rPr>
          <w:rFonts w:ascii="游ゴシック" w:hAnsi="游ゴシック"/>
          <w:b/>
          <w:color w:val="1B3A6B"/>
          <w:sz w:val="22"/>
        </w:rPr>
        <w:t>第14条（育児・介護休業）</w:t>
      </w:r>
    </w:p>
    <w:p>
      <w:pPr>
        <w:ind w:left="283"/>
      </w:pPr>
      <w:r>
        <w:rPr>
          <w:rFonts w:ascii="ＭＳ 明朝" w:hAnsi="ＭＳ 明朝"/>
          <w:sz w:val="21"/>
        </w:rPr>
        <w:t>育児・介護休業については「育児・介護休業等に関する規則」（別規定）を定め、その定めに従う。</w:t>
      </w:r>
    </w:p>
    <w:p>
      <w:pPr>
        <w:ind w:left="283"/>
      </w:pPr>
      <w:r>
        <w:rPr>
          <w:rFonts w:ascii="ＭＳ 明朝" w:hAnsi="ＭＳ 明朝"/>
          <w:sz w:val="21"/>
        </w:rPr>
        <w:t>【2025年4月施行改正対応】</w:t>
      </w:r>
    </w:p>
    <w:p>
      <w:pPr>
        <w:ind w:left="283"/>
      </w:pPr>
      <w:r>
        <w:rPr>
          <w:rFonts w:ascii="ＭＳ 明朝" w:hAnsi="ＭＳ 明朝"/>
          <w:sz w:val="21"/>
        </w:rPr>
        <w:t xml:space="preserve">  ① 3歳〜小学校就学前の子を養育する労働者に対し、以下の2つ以上の措置を講じる。</w:t>
      </w:r>
    </w:p>
    <w:p>
      <w:pPr>
        <w:ind w:left="283"/>
      </w:pPr>
      <w:r>
        <w:rPr>
          <w:rFonts w:ascii="ＭＳ 明朝" w:hAnsi="ＭＳ 明朝"/>
          <w:sz w:val="21"/>
        </w:rPr>
        <w:t xml:space="preserve">      ・始業時刻等の変更（時差出勤）</w:t>
      </w:r>
    </w:p>
    <w:p>
      <w:pPr>
        <w:ind w:left="283"/>
      </w:pPr>
      <w:r>
        <w:rPr>
          <w:rFonts w:ascii="ＭＳ 明朝" w:hAnsi="ＭＳ 明朝"/>
          <w:sz w:val="21"/>
        </w:rPr>
        <w:t xml:space="preserve">      ・テレワーク（月10日以上）</w:t>
      </w:r>
    </w:p>
    <w:p>
      <w:pPr>
        <w:ind w:left="283"/>
      </w:pPr>
      <w:r>
        <w:rPr>
          <w:rFonts w:ascii="ＭＳ 明朝" w:hAnsi="ＭＳ 明朝"/>
          <w:sz w:val="21"/>
        </w:rPr>
        <w:t xml:space="preserve">      ・短時間勤務制度</w:t>
      </w:r>
    </w:p>
    <w:p>
      <w:pPr>
        <w:ind w:left="283"/>
      </w:pPr>
      <w:r>
        <w:rPr>
          <w:rFonts w:ascii="ＭＳ 明朝" w:hAnsi="ＭＳ 明朝"/>
          <w:sz w:val="21"/>
        </w:rPr>
        <w:t xml:space="preserve">      ・養育両立支援休暇（年10日以上）</w:t>
      </w:r>
    </w:p>
    <w:p>
      <w:pPr>
        <w:ind w:left="283"/>
      </w:pPr>
      <w:r>
        <w:rPr>
          <w:rFonts w:ascii="ＭＳ 明朝" w:hAnsi="ＭＳ 明朝"/>
          <w:sz w:val="21"/>
        </w:rPr>
        <w:t xml:space="preserve">      ・事業所内保育施設の設置運営</w:t>
      </w:r>
    </w:p>
    <w:p>
      <w:pPr>
        <w:ind w:left="283"/>
      </w:pPr>
      <w:r>
        <w:rPr>
          <w:rFonts w:ascii="ＭＳ 明朝" w:hAnsi="ＭＳ 明朝"/>
          <w:sz w:val="21"/>
        </w:rPr>
        <w:t xml:space="preserve">  ② 子の看護休暇の対象を小学校3年生修了まで拡充し、病気・ケガ以外の行事等にも利用可。</w:t>
      </w:r>
    </w:p>
    <w:p>
      <w:pPr>
        <w:ind w:left="283"/>
      </w:pPr>
      <w:r>
        <w:rPr>
          <w:rFonts w:ascii="ＭＳ 明朝" w:hAnsi="ＭＳ 明朝"/>
          <w:sz w:val="21"/>
        </w:rPr>
        <w:t xml:space="preserve">  ③ 育児休業の取得状況を公表する（1,000人超企業は公表義務）。</w:t>
      </w:r>
    </w:p>
    <w:p/>
    <w:p>
      <w:r>
        <w:rPr>
          <w:rFonts w:ascii="游ゴシック" w:hAnsi="游ゴシック"/>
          <w:b/>
          <w:color w:val="1B3A6B"/>
          <w:sz w:val="22"/>
        </w:rPr>
        <w:t>第15条（特別休暇）</w:t>
      </w:r>
    </w:p>
    <w:p>
      <w:pPr>
        <w:ind w:left="283"/>
      </w:pPr>
      <w:r>
        <w:rPr>
          <w:rFonts w:ascii="ＭＳ 明朝" w:hAnsi="ＭＳ 明朝"/>
          <w:sz w:val="21"/>
        </w:rPr>
        <w:t>次の事由が生じた場合、次のとおり有給の特別休暇を付与する。</w:t>
      </w:r>
    </w:p>
    <w:p>
      <w:pPr>
        <w:ind w:left="283"/>
      </w:pPr>
      <w:r>
        <w:rPr>
          <w:rFonts w:ascii="ＭＳ 明朝" w:hAnsi="ＭＳ 明朝"/>
          <w:sz w:val="21"/>
        </w:rPr>
        <w:t xml:space="preserve">  ① 本人の結婚: 【5】日</w:t>
      </w:r>
    </w:p>
    <w:p>
      <w:pPr>
        <w:ind w:left="283"/>
      </w:pPr>
      <w:r>
        <w:rPr>
          <w:rFonts w:ascii="ＭＳ 明朝" w:hAnsi="ＭＳ 明朝"/>
          <w:sz w:val="21"/>
        </w:rPr>
        <w:t xml:space="preserve">  ② 配偶者・子・父母の死亡: 【5】日</w:t>
      </w:r>
    </w:p>
    <w:p>
      <w:pPr>
        <w:ind w:left="283"/>
      </w:pPr>
      <w:r>
        <w:rPr>
          <w:rFonts w:ascii="ＭＳ 明朝" w:hAnsi="ＭＳ 明朝"/>
          <w:sz w:val="21"/>
        </w:rPr>
        <w:t xml:space="preserve">  ③ 兄弟姉妹・祖父母・配偶者の父母の死亡: 【3】日</w:t>
      </w:r>
    </w:p>
    <w:p>
      <w:pPr>
        <w:ind w:left="283"/>
      </w:pPr>
      <w:r>
        <w:rPr>
          <w:rFonts w:ascii="ＭＳ 明朝" w:hAnsi="ＭＳ 明朝"/>
          <w:sz w:val="21"/>
        </w:rPr>
        <w:t xml:space="preserve">  ④ 配偶者の出産: 【2】日</w:t>
      </w:r>
    </w:p>
    <w:p>
      <w:pPr>
        <w:ind w:left="283"/>
      </w:pPr>
      <w:r>
        <w:rPr>
          <w:rFonts w:ascii="ＭＳ 明朝" w:hAnsi="ＭＳ 明朝"/>
          <w:sz w:val="21"/>
        </w:rPr>
        <w:t xml:space="preserve">  ⑤ その他会社が認める特別の事情: 会社が必要と認める日数</w:t>
      </w:r>
    </w:p>
    <w:p/>
    <w:p>
      <w:r>
        <w:rPr>
          <w:rFonts w:ascii="游ゴシック" w:hAnsi="游ゴシック"/>
          <w:b/>
          <w:color w:val="1B3A6B"/>
          <w:sz w:val="26"/>
        </w:rPr>
        <w:t>第5章　賃金</w:t>
      </w:r>
    </w:p>
    <w:p>
      <w:r>
        <w:rPr>
          <w:rFonts w:ascii="游ゴシック" w:hAnsi="游ゴシック"/>
          <w:b/>
          <w:color w:val="1B3A6B"/>
          <w:sz w:val="22"/>
        </w:rPr>
        <w:t>第16条（賃金）</w:t>
      </w:r>
    </w:p>
    <w:p>
      <w:pPr>
        <w:ind w:left="283"/>
      </w:pPr>
      <w:r>
        <w:rPr>
          <w:rFonts w:ascii="ＭＳ 明朝" w:hAnsi="ＭＳ 明朝"/>
          <w:sz w:val="21"/>
        </w:rPr>
        <w:t>賃金については「賃金規程」（別規定）を定め、その定めに従う。</w:t>
      </w:r>
    </w:p>
    <w:p>
      <w:pPr>
        <w:ind w:left="283"/>
      </w:pPr>
      <w:r>
        <w:rPr>
          <w:rFonts w:ascii="ＭＳ 明朝" w:hAnsi="ＭＳ 明朝"/>
          <w:sz w:val="21"/>
        </w:rPr>
        <w:t>毎月【　】日締め切り・【　】日払い（休日の場合は直前平日）。</w:t>
      </w:r>
    </w:p>
    <w:p>
      <w:pPr>
        <w:ind w:left="283"/>
      </w:pPr>
      <w:r>
        <w:rPr>
          <w:rFonts w:ascii="ＭＳ 明朝" w:hAnsi="ＭＳ 明朝"/>
          <w:sz w:val="21"/>
        </w:rPr>
        <w:t>賃金は銀行振込による（本人の同意を得た場合は電子マネー払いも可）。</w:t>
      </w:r>
    </w:p>
    <w:p/>
    <w:p>
      <w:r>
        <w:rPr>
          <w:rFonts w:ascii="游ゴシック" w:hAnsi="游ゴシック"/>
          <w:b/>
          <w:color w:val="1B3A6B"/>
          <w:sz w:val="22"/>
        </w:rPr>
        <w:t>第17条（賞与）</w:t>
      </w:r>
    </w:p>
    <w:p>
      <w:pPr>
        <w:ind w:left="283"/>
      </w:pPr>
      <w:r>
        <w:rPr>
          <w:rFonts w:ascii="ＭＳ 明朝" w:hAnsi="ＭＳ 明朝"/>
          <w:sz w:val="21"/>
        </w:rPr>
        <w:t>会社は業績に応じて賞与を支給することがある。支給時期・金額等は会社が別途定める。</w:t>
      </w:r>
    </w:p>
    <w:p/>
    <w:p>
      <w:r>
        <w:rPr>
          <w:rFonts w:ascii="游ゴシック" w:hAnsi="游ゴシック"/>
          <w:b/>
          <w:color w:val="1B3A6B"/>
          <w:sz w:val="26"/>
        </w:rPr>
        <w:t>第6章　服務規律・ハラスメント防止</w:t>
      </w:r>
    </w:p>
    <w:p>
      <w:r>
        <w:rPr>
          <w:rFonts w:ascii="游ゴシック" w:hAnsi="游ゴシック"/>
          <w:b/>
          <w:color w:val="1B3A6B"/>
          <w:sz w:val="22"/>
        </w:rPr>
        <w:t>第18条（服務規律）</w:t>
      </w:r>
    </w:p>
    <w:p>
      <w:pPr>
        <w:ind w:left="283"/>
      </w:pPr>
      <w:r>
        <w:rPr>
          <w:rFonts w:ascii="ＭＳ 明朝" w:hAnsi="ＭＳ 明朝"/>
          <w:sz w:val="21"/>
        </w:rPr>
        <w:t>労働者は次の事項を守らなければならない。</w:t>
      </w:r>
    </w:p>
    <w:p>
      <w:pPr>
        <w:ind w:left="283"/>
      </w:pPr>
      <w:r>
        <w:rPr>
          <w:rFonts w:ascii="ＭＳ 明朝" w:hAnsi="ＭＳ 明朝"/>
          <w:sz w:val="21"/>
        </w:rPr>
        <w:t xml:space="preserve">  ① 就業時間中は業務に専念し、職場を離れる場合は上司に報告すること</w:t>
      </w:r>
    </w:p>
    <w:p>
      <w:pPr>
        <w:ind w:left="283"/>
      </w:pPr>
      <w:r>
        <w:rPr>
          <w:rFonts w:ascii="ＭＳ 明朝" w:hAnsi="ＭＳ 明朝"/>
          <w:sz w:val="21"/>
        </w:rPr>
        <w:t xml:space="preserve">  ② 会社の許可なく施設・設備・備品を私用に供しないこと</w:t>
      </w:r>
    </w:p>
    <w:p>
      <w:pPr>
        <w:ind w:left="283"/>
      </w:pPr>
      <w:r>
        <w:rPr>
          <w:rFonts w:ascii="ＭＳ 明朝" w:hAnsi="ＭＳ 明朝"/>
          <w:sz w:val="21"/>
        </w:rPr>
        <w:t xml:space="preserve">  ③ 業務上知り得た秘密を第三者に漏らさないこと（在職中・退職後とも）</w:t>
      </w:r>
    </w:p>
    <w:p>
      <w:pPr>
        <w:ind w:left="283"/>
      </w:pPr>
      <w:r>
        <w:rPr>
          <w:rFonts w:ascii="ＭＳ 明朝" w:hAnsi="ＭＳ 明朝"/>
          <w:sz w:val="21"/>
        </w:rPr>
        <w:t xml:space="preserve">  ④ 会社の名誉・信用を傷つける言動をしないこと</w:t>
      </w:r>
    </w:p>
    <w:p>
      <w:pPr>
        <w:ind w:left="283"/>
      </w:pPr>
      <w:r>
        <w:rPr>
          <w:rFonts w:ascii="ＭＳ 明朝" w:hAnsi="ＭＳ 明朝"/>
          <w:sz w:val="21"/>
        </w:rPr>
        <w:t xml:space="preserve">  ⑤ 許可なく競業他社に就職し、又は競合する事業を営まないこと</w:t>
      </w:r>
    </w:p>
    <w:p>
      <w:pPr>
        <w:ind w:left="283"/>
      </w:pPr>
      <w:r>
        <w:rPr>
          <w:rFonts w:ascii="ＭＳ 明朝" w:hAnsi="ＭＳ 明朝"/>
          <w:sz w:val="21"/>
        </w:rPr>
        <w:t xml:space="preserve">  ⑥ ソーシャルメディア等で会社の信用を傷つける情報を発信しないこと</w:t>
      </w:r>
    </w:p>
    <w:p/>
    <w:p>
      <w:r>
        <w:rPr>
          <w:rFonts w:ascii="游ゴシック" w:hAnsi="游ゴシック"/>
          <w:b/>
          <w:color w:val="1B3A6B"/>
          <w:sz w:val="22"/>
        </w:rPr>
        <w:t>第19条（ハラスメントの禁止）</w:t>
      </w:r>
    </w:p>
    <w:p>
      <w:pPr>
        <w:ind w:left="283"/>
      </w:pPr>
      <w:r>
        <w:rPr>
          <w:rFonts w:ascii="ＭＳ 明朝" w:hAnsi="ＭＳ 明朝"/>
          <w:sz w:val="21"/>
        </w:rPr>
        <w:t>パワーハラスメント・セクシャルハラスメント・マタニティハラスメント・SOGIハラスメント（性的指向・性自認に関する差別的言動）その他一切のハラスメントを禁止する。</w:t>
      </w:r>
    </w:p>
    <w:p>
      <w:pPr>
        <w:ind w:left="283"/>
      </w:pPr>
      <w:r>
        <w:rPr>
          <w:rFonts w:ascii="ＭＳ 明朝" w:hAnsi="ＭＳ 明朝"/>
          <w:sz w:val="21"/>
        </w:rPr>
        <w:t>会社は相談窓口を設置し、事実確認のうえ適切な措置（加害者への処分・被害者支援・再発防止）を講じる。</w:t>
      </w:r>
    </w:p>
    <w:p>
      <w:pPr>
        <w:ind w:left="283"/>
      </w:pPr>
      <w:r>
        <w:rPr>
          <w:rFonts w:ascii="ＭＳ 明朝" w:hAnsi="ＭＳ 明朝"/>
          <w:sz w:val="21"/>
        </w:rPr>
        <w:t>相談・証言したことを理由として不利益な取扱いを行わない。</w:t>
      </w:r>
    </w:p>
    <w:p/>
    <w:p>
      <w:r>
        <w:rPr>
          <w:rFonts w:ascii="游ゴシック" w:hAnsi="游ゴシック"/>
          <w:b/>
          <w:color w:val="1B3A6B"/>
          <w:sz w:val="22"/>
        </w:rPr>
        <w:t>第20条（カスタマーハラスメント（カスハラ）対策）</w:t>
      </w:r>
    </w:p>
    <w:p>
      <w:pPr>
        <w:ind w:left="283"/>
      </w:pPr>
      <w:r>
        <w:rPr>
          <w:rFonts w:ascii="ＭＳ 明朝" w:hAnsi="ＭＳ 明朝"/>
          <w:sz w:val="21"/>
        </w:rPr>
        <w:t>会社は、顧客・取引先・利用者等からカスタマーハラスメント（カスハラ）を受けた従業員を守るため、次の体制を整備・維持する。</w:t>
      </w:r>
    </w:p>
    <w:p>
      <w:pPr>
        <w:ind w:left="283"/>
      </w:pPr>
      <w:r>
        <w:rPr>
          <w:rFonts w:ascii="ＭＳ 明朝" w:hAnsi="ＭＳ 明朝"/>
          <w:sz w:val="21"/>
        </w:rPr>
        <w:t xml:space="preserve">  ① 【基本方針の明確化・周知】</w:t>
      </w:r>
    </w:p>
    <w:p>
      <w:pPr>
        <w:ind w:left="283"/>
      </w:pPr>
      <w:r>
        <w:rPr>
          <w:rFonts w:ascii="ＭＳ 明朝" w:hAnsi="ＭＳ 明朝"/>
          <w:sz w:val="21"/>
        </w:rPr>
        <w:t xml:space="preserve">      カスハラを一切容認しないこと、従業員の就業環境を守ることを基本方針として定め、社内規程・ホームページ等で周知する。</w:t>
      </w:r>
    </w:p>
    <w:p>
      <w:pPr>
        <w:ind w:left="283"/>
      </w:pPr>
      <w:r>
        <w:rPr>
          <w:rFonts w:ascii="ＭＳ 明朝" w:hAnsi="ＭＳ 明朝"/>
          <w:sz w:val="21"/>
        </w:rPr>
        <w:t xml:space="preserve">  ② 【相談体制の整備】</w:t>
      </w:r>
    </w:p>
    <w:p>
      <w:pPr>
        <w:ind w:left="283"/>
      </w:pPr>
      <w:r>
        <w:rPr>
          <w:rFonts w:ascii="ＭＳ 明朝" w:hAnsi="ＭＳ 明朝"/>
          <w:sz w:val="21"/>
        </w:rPr>
        <w:t xml:space="preserve">      専用の相談窓口を設置し、担当者の連絡先・受付時間を全従業員に周知する。相談内容のプライバシーを保護する。</w:t>
      </w:r>
    </w:p>
    <w:p>
      <w:pPr>
        <w:ind w:left="283"/>
      </w:pPr>
      <w:r>
        <w:rPr>
          <w:rFonts w:ascii="ＭＳ 明朝" w:hAnsi="ＭＳ 明朝"/>
          <w:sz w:val="21"/>
        </w:rPr>
        <w:t xml:space="preserve">  ③ 【事後対応の実施】</w:t>
      </w:r>
    </w:p>
    <w:p>
      <w:pPr>
        <w:ind w:left="283"/>
      </w:pPr>
      <w:r>
        <w:rPr>
          <w:rFonts w:ascii="ＭＳ 明朝" w:hAnsi="ＭＳ 明朝"/>
          <w:sz w:val="21"/>
        </w:rPr>
        <w:t xml:space="preserve">      事実確認のうえ、被害者への配慮（担当変更・特別休暇・メンタルヘルスケア）および再発防止策を迅速に実施する。</w:t>
      </w:r>
    </w:p>
    <w:p>
      <w:pPr>
        <w:ind w:left="283"/>
      </w:pPr>
      <w:r>
        <w:rPr>
          <w:rFonts w:ascii="ＭＳ 明朝" w:hAnsi="ＭＳ 明朝"/>
          <w:sz w:val="21"/>
        </w:rPr>
        <w:t xml:space="preserve">  ④ 【抑止措置】</w:t>
      </w:r>
    </w:p>
    <w:p>
      <w:pPr>
        <w:ind w:left="283"/>
      </w:pPr>
      <w:r>
        <w:rPr>
          <w:rFonts w:ascii="ＭＳ 明朝" w:hAnsi="ＭＳ 明朝"/>
          <w:sz w:val="21"/>
        </w:rPr>
        <w:t xml:space="preserve">      悪質なカスハラに対しては、警察への通報・弁護士への委任・損害賠償請求・取引停止等の毅然とした法的措置を取ることができる。</w:t>
      </w:r>
    </w:p>
    <w:p>
      <w:pPr>
        <w:ind w:left="283"/>
      </w:pPr>
      <w:r>
        <w:rPr>
          <w:rFonts w:ascii="ＭＳ 明朝" w:hAnsi="ＭＳ 明朝"/>
          <w:sz w:val="21"/>
        </w:rPr>
        <w:t xml:space="preserve">  ⑤ 【不利益取扱禁止】</w:t>
      </w:r>
    </w:p>
    <w:p>
      <w:pPr>
        <w:ind w:left="283"/>
      </w:pPr>
      <w:r>
        <w:rPr>
          <w:rFonts w:ascii="ＭＳ 明朝" w:hAnsi="ＭＳ 明朝"/>
          <w:sz w:val="21"/>
        </w:rPr>
        <w:t xml:space="preserve">      相談・証言したことを理由として不利益な取扱いを行わない。</w:t>
      </w:r>
    </w:p>
    <w:p>
      <w:pPr>
        <w:ind w:left="283"/>
      </w:pPr>
      <w:r>
        <w:rPr>
          <w:rFonts w:ascii="ＭＳ 明朝" w:hAnsi="ＭＳ 明朝"/>
          <w:sz w:val="21"/>
        </w:rPr>
        <w:t xml:space="preserve">  詳細は「カスタマーハラスメント対策規程」（別規定）を参照。</w:t>
      </w:r>
    </w:p>
    <w:p>
      <w:pPr>
        <w:ind w:left="283"/>
      </w:pPr>
      <w:r>
        <w:rPr>
          <w:rFonts w:ascii="ＭＳ 明朝" w:hAnsi="ＭＳ 明朝"/>
          <w:sz w:val="21"/>
        </w:rPr>
        <w:t>（根拠）労働施策総合推進法改正（令和7年6月11日公布・令和8年10月1日施行予定）に基づく事業主義務に対応する規定。</w:t>
      </w:r>
    </w:p>
    <w:p>
      <w:pPr>
        <w:ind w:left="283"/>
      </w:pPr>
      <w:r>
        <w:rPr>
          <w:rFonts w:ascii="ＭＳ 明朝" w:hAnsi="ＭＳ 明朝"/>
          <w:sz w:val="21"/>
        </w:rPr>
        <w:t>（注）本規定は2026年10月1日施行予定の義務化要件（方針明確化・相談体制・事後対応・抑止措置・補完措置の5項目）を網羅しています。</w:t>
      </w:r>
    </w:p>
    <w:p/>
    <w:p>
      <w:r>
        <w:rPr>
          <w:rFonts w:ascii="游ゴシック" w:hAnsi="游ゴシック"/>
          <w:b/>
          <w:color w:val="1B3A6B"/>
          <w:sz w:val="26"/>
        </w:rPr>
        <w:t>第7章　懲戒</w:t>
      </w:r>
    </w:p>
    <w:p>
      <w:r>
        <w:rPr>
          <w:rFonts w:ascii="游ゴシック" w:hAnsi="游ゴシック"/>
          <w:b/>
          <w:color w:val="1B3A6B"/>
          <w:sz w:val="22"/>
        </w:rPr>
        <w:t>第21条（懲戒の種類・事由）</w:t>
      </w:r>
    </w:p>
    <w:p>
      <w:pPr>
        <w:ind w:left="283"/>
      </w:pPr>
      <w:r>
        <w:rPr>
          <w:rFonts w:ascii="ＭＳ 明朝" w:hAnsi="ＭＳ 明朝"/>
          <w:sz w:val="21"/>
        </w:rPr>
        <w:t>懲戒の種類は戒告・減給・出勤停止・降格・懲戒解雇とする。</w:t>
      </w:r>
    </w:p>
    <w:p>
      <w:pPr>
        <w:ind w:left="283"/>
      </w:pPr>
      <w:r>
        <w:rPr>
          <w:rFonts w:ascii="ＭＳ 明朝" w:hAnsi="ＭＳ 明朝"/>
          <w:sz w:val="21"/>
        </w:rPr>
        <w:t>次のいずれかに該当する場合に懲戒処分を行う。</w:t>
      </w:r>
    </w:p>
    <w:p>
      <w:pPr>
        <w:ind w:left="283"/>
      </w:pPr>
      <w:r>
        <w:rPr>
          <w:rFonts w:ascii="ＭＳ 明朝" w:hAnsi="ＭＳ 明朝"/>
          <w:sz w:val="21"/>
        </w:rPr>
        <w:t xml:space="preserve">  ① 正当な理由のない無断欠勤・無断遅刻を繰り返したとき</w:t>
      </w:r>
    </w:p>
    <w:p>
      <w:pPr>
        <w:ind w:left="283"/>
      </w:pPr>
      <w:r>
        <w:rPr>
          <w:rFonts w:ascii="ＭＳ 明朝" w:hAnsi="ＭＳ 明朝"/>
          <w:sz w:val="21"/>
        </w:rPr>
        <w:t xml:space="preserve">  ② ハラスメント行為を行ったとき</w:t>
      </w:r>
    </w:p>
    <w:p>
      <w:pPr>
        <w:ind w:left="283"/>
      </w:pPr>
      <w:r>
        <w:rPr>
          <w:rFonts w:ascii="ＭＳ 明朝" w:hAnsi="ＭＳ 明朝"/>
          <w:sz w:val="21"/>
        </w:rPr>
        <w:t xml:space="preserve">  ③ 業務上の秘密を漏洩したとき</w:t>
      </w:r>
    </w:p>
    <w:p>
      <w:pPr>
        <w:ind w:left="283"/>
      </w:pPr>
      <w:r>
        <w:rPr>
          <w:rFonts w:ascii="ＭＳ 明朝" w:hAnsi="ＭＳ 明朝"/>
          <w:sz w:val="21"/>
        </w:rPr>
        <w:t xml:space="preserve">  ④ 会社・取引先の財物を横領・窃取したとき</w:t>
      </w:r>
    </w:p>
    <w:p>
      <w:pPr>
        <w:ind w:left="283"/>
      </w:pPr>
      <w:r>
        <w:rPr>
          <w:rFonts w:ascii="ＭＳ 明朝" w:hAnsi="ＭＳ 明朝"/>
          <w:sz w:val="21"/>
        </w:rPr>
        <w:t xml:space="preserve">  ⑤ 刑事事件により有罪判決を受けたとき</w:t>
      </w:r>
    </w:p>
    <w:p>
      <w:pPr>
        <w:ind w:left="283"/>
      </w:pPr>
      <w:r>
        <w:rPr>
          <w:rFonts w:ascii="ＭＳ 明朝" w:hAnsi="ＭＳ 明朝"/>
          <w:sz w:val="21"/>
        </w:rPr>
        <w:t xml:space="preserve">  ⑥ 経歴・資格を詐称したとき</w:t>
      </w:r>
    </w:p>
    <w:p>
      <w:pPr>
        <w:ind w:left="283"/>
      </w:pPr>
      <w:r>
        <w:rPr>
          <w:rFonts w:ascii="ＭＳ 明朝" w:hAnsi="ＭＳ 明朝"/>
          <w:sz w:val="21"/>
        </w:rPr>
        <w:t xml:space="preserve">  ⑦ その他本規則に著しく違反したとき</w:t>
      </w:r>
    </w:p>
    <w:p/>
    <w:p>
      <w:r>
        <w:rPr>
          <w:rFonts w:ascii="游ゴシック" w:hAnsi="游ゴシック"/>
          <w:b/>
          <w:color w:val="1B3A6B"/>
          <w:sz w:val="26"/>
        </w:rPr>
        <w:t>第8章　安全衛生・健康管理</w:t>
      </w:r>
    </w:p>
    <w:p>
      <w:r>
        <w:rPr>
          <w:rFonts w:ascii="游ゴシック" w:hAnsi="游ゴシック"/>
          <w:b/>
          <w:color w:val="1B3A6B"/>
          <w:sz w:val="22"/>
        </w:rPr>
        <w:t>第22条（安全衛生）</w:t>
      </w:r>
    </w:p>
    <w:p>
      <w:pPr>
        <w:ind w:left="283"/>
      </w:pPr>
      <w:r>
        <w:rPr>
          <w:rFonts w:ascii="ＭＳ 明朝" w:hAnsi="ＭＳ 明朝"/>
          <w:sz w:val="21"/>
        </w:rPr>
        <w:t>会社は、労働安全衛生法に基づき職場の安全衛生管理を行い、労働者の健康・安全を確保する。</w:t>
      </w:r>
    </w:p>
    <w:p>
      <w:pPr>
        <w:ind w:left="283"/>
      </w:pPr>
      <w:r>
        <w:rPr>
          <w:rFonts w:ascii="ＭＳ 明朝" w:hAnsi="ＭＳ 明朝"/>
          <w:sz w:val="21"/>
        </w:rPr>
        <w:t>50人以上の事業場では衛生委員会を設置し、産業医の選任・定期健康診断の実施を行う（安衛法13条・66条）。</w:t>
      </w:r>
    </w:p>
    <w:p>
      <w:pPr>
        <w:ind w:left="283"/>
      </w:pPr>
      <w:r>
        <w:rPr>
          <w:rFonts w:ascii="ＭＳ 明朝" w:hAnsi="ＭＳ 明朝"/>
          <w:sz w:val="21"/>
        </w:rPr>
        <w:t>メンタルヘルス対策・ストレスチェック制度を実施する（50人以上の事業場では義務）。</w:t>
      </w:r>
    </w:p>
    <w:p/>
    <w:p>
      <w:r>
        <w:rPr>
          <w:rFonts w:ascii="游ゴシック" w:hAnsi="游ゴシック"/>
          <w:b/>
          <w:color w:val="1B3A6B"/>
          <w:sz w:val="26"/>
        </w:rPr>
        <w:t>第9章　退職・解雇</w:t>
      </w:r>
    </w:p>
    <w:p>
      <w:r>
        <w:rPr>
          <w:rFonts w:ascii="游ゴシック" w:hAnsi="游ゴシック"/>
          <w:b/>
          <w:color w:val="1B3A6B"/>
          <w:sz w:val="22"/>
        </w:rPr>
        <w:t>第23条（退職）</w:t>
      </w:r>
    </w:p>
    <w:p>
      <w:pPr>
        <w:ind w:left="283"/>
      </w:pPr>
      <w:r>
        <w:rPr>
          <w:rFonts w:ascii="ＭＳ 明朝" w:hAnsi="ＭＳ 明朝"/>
          <w:sz w:val="21"/>
        </w:rPr>
        <w:t>次のいずれかに該当するときは退職とする。</w:t>
      </w:r>
    </w:p>
    <w:p>
      <w:pPr>
        <w:ind w:left="283"/>
      </w:pPr>
      <w:r>
        <w:rPr>
          <w:rFonts w:ascii="ＭＳ 明朝" w:hAnsi="ＭＳ 明朝"/>
          <w:sz w:val="21"/>
        </w:rPr>
        <w:t xml:space="preserve">  ① 退職の申し出を行い会社が承認したとき（少なくとも30日前に申し出ること）</w:t>
      </w:r>
    </w:p>
    <w:p>
      <w:pPr>
        <w:ind w:left="283"/>
      </w:pPr>
      <w:r>
        <w:rPr>
          <w:rFonts w:ascii="ＭＳ 明朝" w:hAnsi="ＭＳ 明朝"/>
          <w:sz w:val="21"/>
        </w:rPr>
        <w:t xml:space="preserve">  ② 定年に達したとき（定年は満60歳。希望者は65歳まで再雇用）</w:t>
      </w:r>
    </w:p>
    <w:p>
      <w:pPr>
        <w:ind w:left="283"/>
      </w:pPr>
      <w:r>
        <w:rPr>
          <w:rFonts w:ascii="ＭＳ 明朝" w:hAnsi="ＭＳ 明朝"/>
          <w:sz w:val="21"/>
        </w:rPr>
        <w:t xml:space="preserve">  ③ 期間を定めた雇用の場合、期間が満了したとき</w:t>
      </w:r>
    </w:p>
    <w:p>
      <w:pPr>
        <w:ind w:left="283"/>
      </w:pPr>
      <w:r>
        <w:rPr>
          <w:rFonts w:ascii="ＭＳ 明朝" w:hAnsi="ＭＳ 明朝"/>
          <w:sz w:val="21"/>
        </w:rPr>
        <w:t xml:space="preserve">  ④ 死亡したとき</w:t>
      </w:r>
    </w:p>
    <w:p/>
    <w:p>
      <w:r>
        <w:rPr>
          <w:rFonts w:ascii="游ゴシック" w:hAnsi="游ゴシック"/>
          <w:b/>
          <w:color w:val="1B3A6B"/>
          <w:sz w:val="22"/>
        </w:rPr>
        <w:t>第24条（解雇）</w:t>
      </w:r>
    </w:p>
    <w:p>
      <w:pPr>
        <w:ind w:left="283"/>
      </w:pPr>
      <w:r>
        <w:rPr>
          <w:rFonts w:ascii="ＭＳ 明朝" w:hAnsi="ＭＳ 明朝"/>
          <w:sz w:val="21"/>
        </w:rPr>
        <w:t>次のいずれかに該当する場合は解雇することがある（解雇権の濫用に当たるものは無効）。</w:t>
      </w:r>
    </w:p>
    <w:p>
      <w:pPr>
        <w:ind w:left="283"/>
      </w:pPr>
      <w:r>
        <w:rPr>
          <w:rFonts w:ascii="ＭＳ 明朝" w:hAnsi="ＭＳ 明朝"/>
          <w:sz w:val="21"/>
        </w:rPr>
        <w:t xml:space="preserve">  ① 心身の障害により業務に耐えられないとき</w:t>
      </w:r>
    </w:p>
    <w:p>
      <w:pPr>
        <w:ind w:left="283"/>
      </w:pPr>
      <w:r>
        <w:rPr>
          <w:rFonts w:ascii="ＭＳ 明朝" w:hAnsi="ＭＳ 明朝"/>
          <w:sz w:val="21"/>
        </w:rPr>
        <w:t xml:space="preserve">  ② 勤務成績・業務能率が著しく不良のとき</w:t>
      </w:r>
    </w:p>
    <w:p>
      <w:pPr>
        <w:ind w:left="283"/>
      </w:pPr>
      <w:r>
        <w:rPr>
          <w:rFonts w:ascii="ＭＳ 明朝" w:hAnsi="ＭＳ 明朝"/>
          <w:sz w:val="21"/>
        </w:rPr>
        <w:t xml:space="preserve">  ③ 懲戒解雇事由に該当したとき</w:t>
      </w:r>
    </w:p>
    <w:p>
      <w:pPr>
        <w:ind w:left="283"/>
      </w:pPr>
      <w:r>
        <w:rPr>
          <w:rFonts w:ascii="ＭＳ 明朝" w:hAnsi="ＭＳ 明朝"/>
          <w:sz w:val="21"/>
        </w:rPr>
        <w:t xml:space="preserve">  ④ 事業の都合によりやむを得ないとき</w:t>
      </w:r>
    </w:p>
    <w:p>
      <w:pPr>
        <w:ind w:left="283"/>
      </w:pPr>
      <w:r>
        <w:rPr>
          <w:rFonts w:ascii="ＭＳ 明朝" w:hAnsi="ＭＳ 明朝"/>
          <w:sz w:val="21"/>
        </w:rPr>
        <w:t>解雇予告: 少なくとも30日前に予告するか、予告手当（平均賃金30日分以上）を支払う（労基法20条）。</w:t>
      </w:r>
    </w:p>
    <w:p/>
    <w:p>
      <w:r>
        <w:rPr>
          <w:rFonts w:ascii="游ゴシック" w:hAnsi="游ゴシック"/>
          <w:b/>
          <w:color w:val="1B3A6B"/>
          <w:sz w:val="26"/>
        </w:rPr>
        <w:t>附則</w:t>
      </w:r>
    </w:p>
    <w:p>
      <w:r>
        <w:rPr>
          <w:rFonts w:ascii="ＭＳ 明朝" w:hAnsi="ＭＳ 明朝"/>
          <w:color w:val="2C3E50"/>
          <w:sz w:val="21"/>
        </w:rPr>
        <w:t>この規則は、　　　年　　月　　日から施行する。</w:t>
      </w:r>
    </w:p>
    <w:p/>
    <w:p>
      <w:r>
        <w:rPr>
          <w:rFonts w:ascii="ＭＳ 明朝" w:hAnsi="ＭＳ 明朝"/>
          <w:color w:val="2C3E50"/>
          <w:sz w:val="21"/>
        </w:rPr>
        <w:t>【参照法令・参照資料】</w:t>
      </w:r>
    </w:p>
    <w:p>
      <w:r>
        <w:rPr>
          <w:rFonts w:ascii="ＭＳ 明朝" w:hAnsi="ＭＳ 明朝"/>
          <w:color w:val="2C3E50"/>
          <w:sz w:val="21"/>
        </w:rPr>
        <w:t xml:space="preserve">  ・ 労働基準法（特に第15条・第32条〜36条・第39条・第89条・第90条・第106条・第109条・第120条）</w:t>
      </w:r>
    </w:p>
    <w:p>
      <w:r>
        <w:rPr>
          <w:rFonts w:ascii="ＭＳ 明朝" w:hAnsi="ＭＳ 明朝"/>
          <w:color w:val="2C3E50"/>
          <w:sz w:val="21"/>
        </w:rPr>
        <w:t xml:space="preserve">  ・ 育児・介護休業法（2025年4月・10月施行改正対応）</w:t>
      </w:r>
    </w:p>
    <w:p>
      <w:r>
        <w:rPr>
          <w:rFonts w:ascii="ＭＳ 明朝" w:hAnsi="ＭＳ 明朝"/>
          <w:color w:val="2C3E50"/>
          <w:sz w:val="21"/>
        </w:rPr>
        <w:t xml:space="preserve">  ・ 労働施策総合推進法（カスハラ義務化: 令和7年6月11日公布・令和8年10月1日施行予定）</w:t>
      </w:r>
    </w:p>
    <w:p>
      <w:r>
        <w:rPr>
          <w:rFonts w:ascii="ＭＳ 明朝" w:hAnsi="ＭＳ 明朝"/>
          <w:color w:val="2C3E50"/>
          <w:sz w:val="21"/>
        </w:rPr>
        <w:t xml:space="preserve">  ・ 厚生労働省モデル就業規則（令和7年12月版）</w:t>
      </w:r>
    </w:p>
    <w:p>
      <w:r>
        <w:rPr>
          <w:rFonts w:ascii="ＭＳ 明朝" w:hAnsi="ＭＳ 明朝"/>
          <w:color w:val="2C3E50"/>
          <w:sz w:val="21"/>
        </w:rPr>
        <w:t xml:space="preserve">  ・ 副業・兼業の促進に関するガイドライン（厚労省 2022年7月改訂）</w:t>
      </w:r>
    </w:p>
    <w:p>
      <w:r>
        <w:rPr>
          <w:rFonts w:ascii="ＭＳ 明朝" w:hAnsi="ＭＳ 明朝"/>
          <w:color w:val="2C3E50"/>
          <w:sz w:val="21"/>
        </w:rPr>
        <w:t xml:space="preserve">  本テンプレートの最終確認日: 2026-05-28</w:t>
      </w:r>
    </w:p>
    <w:p/>
    <w:p>
      <w:r>
        <w:rPr>
          <w:rFonts w:ascii="ＭＳ 明朝" w:hAnsi="ＭＳ 明朝"/>
          <w:color w:val="2C3E50"/>
          <w:sz w:val="18"/>
        </w:rPr>
        <w:t>【重要】本テンプレートは一般情報です。就業規則の届出・施行前に必ず社会保険労務士・弁護士に確認してください。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