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32"/>
        </w:rPr>
        <w:t>1on1ミーティングシート</w:t>
      </w:r>
    </w:p>
    <w:p/>
    <w:p>
      <w:r>
        <w:rPr>
          <w:rFonts w:ascii="游ゴシック" w:hAnsi="游ゴシック"/>
          <w:b w:val="0"/>
          <w:sz w:val="18"/>
        </w:rPr>
        <w:t>■ 毎週・月次1on1の記録として活用してください。上長・部下の双方が事前に記入し、面談開始時に確認し合う形式が効果的です。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部下氏名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　　　　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b/>
                <w:sz w:val="20"/>
              </w:rPr>
              <w:t>実施日</w:t>
            </w:r>
          </w:p>
        </w:tc>
        <w:tc>
          <w:tcPr>
            <w:tcW w:type="dxa" w:w="2409"/>
          </w:tcPr>
          <w:p>
            <w:r>
              <w:rPr>
                <w:rFonts w:ascii="游ゴシック" w:hAnsi="游ゴシック"/>
                <w:sz w:val="20"/>
              </w:rPr>
              <w:t xml:space="preserve">　　年　　月　　日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1. 今週/今月のハイライト（うまくいったこと・成果）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2. 課題・困っていること・支援が必要なこと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3. MBO・KPIの進捗確認（数値・達成率）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4. 上長からのフィードバック・気づき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5. 次回までのアクション（部下）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</w:tbl>
    <w:p/>
    <w:p>
      <w:r>
        <w:rPr>
          <w:rFonts w:ascii="游ゴシック" w:hAnsi="游ゴシック"/>
          <w:b/>
          <w:color w:val="1A355E"/>
          <w:sz w:val="22"/>
        </w:rPr>
        <w:t>6. 次回実施予定日・テーマ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  <w:tr>
        <w:tc>
          <w:tcPr>
            <w:tcW w:type="dxa" w:w="9638"/>
          </w:tcPr>
          <w:p>
            <w:r>
              <w:rPr>
                <w:rFonts w:ascii="游ゴシック" w:hAnsi="游ゴシック"/>
                <w:sz w:val="20"/>
              </w:rPr>
              <w:t xml:space="preserve">　</w:t>
            </w:r>
          </w:p>
        </w:tc>
      </w:tr>
    </w:tbl>
    <w:p/>
    <w:p/>
    <w:p>
      <w:r>
        <w:rPr>
          <w:rFonts w:ascii="游ゴシック" w:hAnsi="游ゴシック"/>
          <w:b w:val="0"/>
          <w:color w:val="707070"/>
          <w:sz w:val="16"/>
        </w:rPr>
        <w:t>※ 1on1は「評価の場」ではなく「支援・対話の場」です。批判より傾聴・フィードバックを心がけてください。</w:t>
      </w:r>
    </w:p>
    <w:p>
      <w:r>
        <w:rPr>
          <w:rFonts w:ascii="游ゴシック" w:hAnsi="游ゴシック"/>
          <w:b w:val="0"/>
          <w:color w:val="707070"/>
          <w:sz w:val="16"/>
        </w:rPr>
        <w:t>※ 本シートの記録は個人情報を含む場合があります。適切に管理してください。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