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カスタマーハラスメント対応マニュアル</w:t>
      </w:r>
    </w:p>
    <w:p>
      <w:pPr>
        <w:jc w:val="right"/>
      </w:pPr>
      <w:r>
        <w:rPr>
          <w:rFonts w:ascii="ＭＳ 明朝" w:hAnsi="ＭＳ 明朝"/>
          <w:b w:val="0"/>
          <w:sz w:val="22"/>
        </w:rPr>
        <w:t>令和　年　月　日</w:t>
      </w:r>
    </w:p>
    <w:p>
      <w:pPr>
        <w:jc w:val="right"/>
      </w:pPr>
      <w:r>
        <w:rPr>
          <w:rFonts w:ascii="ＭＳ 明朝" w:hAnsi="ＭＳ 明朝"/>
          <w:b w:val="0"/>
          <w:sz w:val="20"/>
        </w:rPr>
        <w:t xml:space="preserve">会社名：　　　　　　　　　　　　</w:t>
        <w:br/>
        <w:t>制定日：令和　　年　月　日</w:t>
      </w:r>
    </w:p>
    <w:p/>
    <w:p>
      <w:r>
        <w:rPr>
          <w:rFonts w:ascii="ＭＳ 明朝" w:hAnsi="ＭＳ 明朝"/>
          <w:b w:val="0"/>
          <w:sz w:val="20"/>
        </w:rPr>
        <w:t>本マニュアルは、労働施策総合推進法（令和7年6月11日改正・令和8年10月1日施行予定）に基づき、カスタマーハラスメント（以下「カスハラ」という）から従業員を守るための対応指針を定めるものです。</w:t>
      </w:r>
    </w:p>
    <w:p/>
    <w:p>
      <w:r>
        <w:rPr>
          <w:rFonts w:ascii="游ゴシック" w:hAnsi="游ゴシック"/>
          <w:b/>
          <w:color w:val="2C3E50"/>
          <w:sz w:val="26"/>
        </w:rPr>
        <w:t>第1章　カスタマーハラスメントとは</w:t>
      </w:r>
    </w:p>
    <w:p>
      <w:r>
        <w:rPr>
          <w:rFonts w:ascii="游ゴシック" w:hAnsi="游ゴシック"/>
          <w:b/>
          <w:color w:val="2C3E50"/>
          <w:sz w:val="22"/>
        </w:rPr>
        <w:t>1-1　定義（厚生労働省指針準拠）</w:t>
      </w:r>
    </w:p>
    <w:p>
      <w:r>
        <w:rPr>
          <w:rFonts w:ascii="ＭＳ 明朝" w:hAnsi="ＭＳ 明朝"/>
          <w:b w:val="0"/>
          <w:sz w:val="20"/>
        </w:rPr>
        <w:t>カスタマーハラスメントとは、顧客・取引先・利用者等が行う以下のいずれかに該当する言動であって、その手段・態様が社会通念上相当な範囲を超え、従業員の就業環境が害されるものをいいます。</w:t>
      </w:r>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18"/>
              </w:rPr>
              <w:t>要素</w:t>
            </w:r>
          </w:p>
        </w:tc>
        <w:tc>
          <w:tcPr>
            <w:tcW w:type="dxa" w:w="4819"/>
          </w:tcPr>
          <w:p>
            <w:r>
              <w:rPr>
                <w:rFonts w:ascii="ＭＳ 明朝" w:hAnsi="ＭＳ 明朝"/>
                <w:sz w:val="18"/>
              </w:rPr>
              <w:t>具体例</w:t>
            </w:r>
          </w:p>
        </w:tc>
      </w:tr>
      <w:tr>
        <w:tc>
          <w:tcPr>
            <w:tcW w:type="dxa" w:w="4819"/>
          </w:tcPr>
          <w:p>
            <w:r>
              <w:rPr>
                <w:rFonts w:ascii="ＭＳ 明朝" w:hAnsi="ＭＳ 明朝"/>
                <w:sz w:val="18"/>
              </w:rPr>
              <w:t>① 過度なクレーム・要求</w:t>
            </w:r>
          </w:p>
        </w:tc>
        <w:tc>
          <w:tcPr>
            <w:tcW w:type="dxa" w:w="4819"/>
          </w:tcPr>
          <w:p>
            <w:r>
              <w:rPr>
                <w:rFonts w:ascii="ＭＳ 明朝" w:hAnsi="ＭＳ 明朝"/>
                <w:sz w:val="18"/>
              </w:rPr>
              <w:t>理不尽な謝罪要求・商品・サービスと無関係な要求・根拠のない慰謝料要求</w:t>
            </w:r>
          </w:p>
        </w:tc>
      </w:tr>
      <w:tr>
        <w:tc>
          <w:tcPr>
            <w:tcW w:type="dxa" w:w="4819"/>
          </w:tcPr>
          <w:p>
            <w:r>
              <w:rPr>
                <w:rFonts w:ascii="ＭＳ 明朝" w:hAnsi="ＭＳ 明朝"/>
                <w:sz w:val="18"/>
              </w:rPr>
              <w:t>② 侮辱・暴言</w:t>
            </w:r>
          </w:p>
        </w:tc>
        <w:tc>
          <w:tcPr>
            <w:tcW w:type="dxa" w:w="4819"/>
          </w:tcPr>
          <w:p>
            <w:r>
              <w:rPr>
                <w:rFonts w:ascii="ＭＳ 明朝" w:hAnsi="ＭＳ 明朝"/>
                <w:sz w:val="18"/>
              </w:rPr>
              <w:t>「馬鹿」「使えない」「辞めてしまえ」などの人格否定発言</w:t>
            </w:r>
          </w:p>
        </w:tc>
      </w:tr>
      <w:tr>
        <w:tc>
          <w:tcPr>
            <w:tcW w:type="dxa" w:w="4819"/>
          </w:tcPr>
          <w:p>
            <w:r>
              <w:rPr>
                <w:rFonts w:ascii="ＭＳ 明朝" w:hAnsi="ＭＳ 明朝"/>
                <w:sz w:val="18"/>
              </w:rPr>
              <w:t>③ 脅迫・威圧</w:t>
            </w:r>
          </w:p>
        </w:tc>
        <w:tc>
          <w:tcPr>
            <w:tcW w:type="dxa" w:w="4819"/>
          </w:tcPr>
          <w:p>
            <w:r>
              <w:rPr>
                <w:rFonts w:ascii="ＭＳ 明朝" w:hAnsi="ＭＳ 明朝"/>
                <w:sz w:val="18"/>
              </w:rPr>
              <w:t>「訴えるぞ」「SNSに晒す」「上司を出せ」などの繰り返し要求</w:t>
            </w:r>
          </w:p>
        </w:tc>
      </w:tr>
      <w:tr>
        <w:tc>
          <w:tcPr>
            <w:tcW w:type="dxa" w:w="4819"/>
          </w:tcPr>
          <w:p>
            <w:r>
              <w:rPr>
                <w:rFonts w:ascii="ＭＳ 明朝" w:hAnsi="ＭＳ 明朝"/>
                <w:sz w:val="18"/>
              </w:rPr>
              <w:t>④ 不当な長時間対応要求</w:t>
            </w:r>
          </w:p>
        </w:tc>
        <w:tc>
          <w:tcPr>
            <w:tcW w:type="dxa" w:w="4819"/>
          </w:tcPr>
          <w:p>
            <w:r>
              <w:rPr>
                <w:rFonts w:ascii="ＭＳ 明朝" w:hAnsi="ＭＳ 明朝"/>
                <w:sz w:val="18"/>
              </w:rPr>
              <w:t>業務時間外・閉店後にも長時間の電話・滞留を強いる行為</w:t>
            </w:r>
          </w:p>
        </w:tc>
      </w:tr>
      <w:tr>
        <w:tc>
          <w:tcPr>
            <w:tcW w:type="dxa" w:w="4819"/>
          </w:tcPr>
          <w:p>
            <w:r>
              <w:rPr>
                <w:rFonts w:ascii="ＭＳ 明朝" w:hAnsi="ＭＳ 明朝"/>
                <w:sz w:val="18"/>
              </w:rPr>
              <w:t>⑤ 差別的・性的言動</w:t>
            </w:r>
          </w:p>
        </w:tc>
        <w:tc>
          <w:tcPr>
            <w:tcW w:type="dxa" w:w="4819"/>
          </w:tcPr>
          <w:p>
            <w:r>
              <w:rPr>
                <w:rFonts w:ascii="ＭＳ 明朝" w:hAnsi="ＭＳ 明朝"/>
                <w:sz w:val="18"/>
              </w:rPr>
              <w:t>特定の属性（性別・年齢・国籍等）を理由にした暴言・侮辱</w:t>
            </w:r>
          </w:p>
        </w:tc>
      </w:tr>
      <w:tr>
        <w:tc>
          <w:tcPr>
            <w:tcW w:type="dxa" w:w="4819"/>
          </w:tcPr>
          <w:p>
            <w:r>
              <w:rPr>
                <w:rFonts w:ascii="ＭＳ 明朝" w:hAnsi="ＭＳ 明朝"/>
                <w:sz w:val="18"/>
              </w:rPr>
              <w:t>※ 正当な苦情・クレームは対象外</w:t>
            </w:r>
          </w:p>
        </w:tc>
        <w:tc>
          <w:tcPr>
            <w:tcW w:type="dxa" w:w="4819"/>
          </w:tcPr>
          <w:p>
            <w:r>
              <w:rPr>
                <w:rFonts w:ascii="ＭＳ 明朝" w:hAnsi="ＭＳ 明朝"/>
                <w:sz w:val="18"/>
              </w:rPr>
              <w:t>商品・サービスの不備に対する適切な指摘は真摯に対応する</w:t>
            </w:r>
          </w:p>
        </w:tc>
      </w:tr>
    </w:tbl>
    <w:p/>
    <w:p>
      <w:r>
        <w:rPr>
          <w:rFonts w:ascii="游ゴシック" w:hAnsi="游ゴシック"/>
          <w:b/>
          <w:color w:val="2C3E50"/>
          <w:sz w:val="26"/>
        </w:rPr>
        <w:t>第2章　会社の基本方針</w:t>
      </w:r>
    </w:p>
    <w:p>
      <w:r>
        <w:rPr>
          <w:rFonts w:ascii="ＭＳ 明朝" w:hAnsi="ＭＳ 明朝"/>
          <w:b w:val="0"/>
          <w:sz w:val="20"/>
        </w:rPr>
        <w:t>当社は、カスタマーハラスメントに対して以下の基本方針を定め、全従業員に周知します。</w:t>
      </w:r>
    </w:p>
    <w:p>
      <w:r>
        <w:rPr>
          <w:rFonts w:ascii="ＭＳ 明朝" w:hAnsi="ＭＳ 明朝"/>
          <w:b w:val="0"/>
          <w:sz w:val="20"/>
        </w:rPr>
        <w:t>① 従業員はカスハラから保護される権利を有する。当社は毅然とした態度で対応し、従業員を守る。</w:t>
      </w:r>
    </w:p>
    <w:p>
      <w:r>
        <w:rPr>
          <w:rFonts w:ascii="ＭＳ 明朝" w:hAnsi="ＭＳ 明朝"/>
          <w:b w:val="0"/>
          <w:sz w:val="20"/>
        </w:rPr>
        <w:t>② カスハラに該当する行為は、適切な取引関係・サービス提供の維持を困難にする場合、お断り・サービス停止・退店要請・警察通報等の対応を行う。</w:t>
      </w:r>
    </w:p>
    <w:p>
      <w:r>
        <w:rPr>
          <w:rFonts w:ascii="ＭＳ 明朝" w:hAnsi="ＭＳ 明朝"/>
          <w:b w:val="0"/>
          <w:sz w:val="20"/>
        </w:rPr>
        <w:t>③ カスハラ被害を受けた従業員が相談・報告した場合、当社は迅速かつ適切に対応し、不利益取扱いを行わない。</w:t>
      </w:r>
    </w:p>
    <w:p>
      <w:r>
        <w:rPr>
          <w:rFonts w:ascii="ＭＳ 明朝" w:hAnsi="ＭＳ 明朝"/>
          <w:b w:val="0"/>
          <w:sz w:val="20"/>
        </w:rPr>
        <w:t>④ 本方針は社内報・ポスター・研修等を通じて全従業員に周知する。</w:t>
      </w:r>
    </w:p>
    <w:p>
      <w:r>
        <w:rPr>
          <w:rFonts w:ascii="ＭＳ 明朝" w:hAnsi="ＭＳ 明朝"/>
          <w:b w:val="0"/>
          <w:sz w:val="20"/>
        </w:rPr>
        <w:t>⑤ 本方針は、厚生労働省「事業主が職場における顧客等の言動に起因する問題に関して雇用管理上講ずべき措置等についての指針」（令和7年改正）に基づく。</w:t>
      </w:r>
    </w:p>
    <w:p/>
    <w:p>
      <w:r>
        <w:rPr>
          <w:rFonts w:ascii="游ゴシック" w:hAnsi="游ゴシック"/>
          <w:b/>
          <w:color w:val="2C3E50"/>
          <w:sz w:val="26"/>
        </w:rPr>
        <w:t>第3章　対応手順</w:t>
      </w:r>
    </w:p>
    <w:p>
      <w:r>
        <w:rPr>
          <w:rFonts w:ascii="游ゴシック" w:hAnsi="游ゴシック"/>
          <w:b/>
          <w:color w:val="C0392B"/>
          <w:sz w:val="22"/>
        </w:rPr>
        <w:t>STEP 1: 状況の把握（応対者）</w:t>
      </w:r>
    </w:p>
    <w:p>
      <w:r>
        <w:rPr>
          <w:rFonts w:ascii="ＭＳ 明朝" w:hAnsi="ＭＳ 明朝"/>
          <w:b w:val="0"/>
          <w:sz w:val="20"/>
        </w:rPr>
        <w:t>・顧客の要望・クレーム内容を落ち着いて傾聴する</w:t>
        <w:br/>
        <w:t>・「お客様のご不満はよく理解しました」と共感を示しつつ記録する</w:t>
        <w:br/>
        <w:t>・言動がカスハラに該当するか判断する（第1章の定義を参照）</w:t>
      </w:r>
    </w:p>
    <w:p>
      <w:r>
        <w:rPr>
          <w:rFonts w:ascii="游ゴシック" w:hAnsi="游ゴシック"/>
          <w:b/>
          <w:color w:val="C0392B"/>
          <w:sz w:val="22"/>
        </w:rPr>
        <w:t>STEP 2: 上司・責任者への報告（応対者）</w:t>
      </w:r>
    </w:p>
    <w:p>
      <w:r>
        <w:rPr>
          <w:rFonts w:ascii="ＭＳ 明朝" w:hAnsi="ＭＳ 明朝"/>
          <w:b w:val="0"/>
          <w:sz w:val="20"/>
        </w:rPr>
        <w:t>・カスハラと判断した場合、直ちに上司または相談窓口担当者に報告する</w:t>
        <w:br/>
        <w:t>・一人で対応を継続しない（ひとり対応は禁止）</w:t>
        <w:br/>
        <w:t>・会話・状況はメモに記録する（日時・内容・相手の言動を記載）</w:t>
      </w:r>
    </w:p>
    <w:p>
      <w:r>
        <w:rPr>
          <w:rFonts w:ascii="游ゴシック" w:hAnsi="游ゴシック"/>
          <w:b/>
          <w:color w:val="C0392B"/>
          <w:sz w:val="22"/>
        </w:rPr>
        <w:t>STEP 3: 責任者による対応（責任者）</w:t>
      </w:r>
    </w:p>
    <w:p>
      <w:r>
        <w:rPr>
          <w:rFonts w:ascii="ＭＳ 明朝" w:hAnsi="ＭＳ 明朝"/>
          <w:b w:val="0"/>
          <w:sz w:val="20"/>
        </w:rPr>
        <w:t>・責任者が対応を引き継ぐ</w:t>
        <w:br/>
        <w:t>・要求の合理性・社会的相当性を判断し、正当なクレームと不当要求を区別する</w:t>
        <w:br/>
        <w:t>・要求が不当な場合は明確に断る（「それには応じかねます」と丁寧かつ毅然と伝える）</w:t>
        <w:br/>
        <w:t>・状況に応じて対応打ち切り・退店要請・電話終了等を行う</w:t>
      </w:r>
    </w:p>
    <w:p>
      <w:r>
        <w:rPr>
          <w:rFonts w:ascii="游ゴシック" w:hAnsi="游ゴシック"/>
          <w:b/>
          <w:color w:val="C0392B"/>
          <w:sz w:val="22"/>
        </w:rPr>
        <w:t>STEP 4: 深刻な場合の対応（責任者・会社）</w:t>
      </w:r>
    </w:p>
    <w:p>
      <w:r>
        <w:rPr>
          <w:rFonts w:ascii="ＭＳ 明朝" w:hAnsi="ＭＳ 明朝"/>
          <w:b w:val="0"/>
          <w:sz w:val="20"/>
        </w:rPr>
        <w:t>・暴力・脅迫・不退去等は警察へ通報する（迷わず実施）</w:t>
        <w:br/>
        <w:t>・法的措置（警告書送付・出入り禁止・損害賠償請求・刑事告訴）の検討</w:t>
        <w:br/>
        <w:t>・弁護士・社会保険労務士等の専門家に相談する</w:t>
        <w:br/>
        <w:t>・被害従業員のケア（心理的フォロー・業務軽減・メンタルヘルス相談）</w:t>
      </w:r>
    </w:p>
    <w:p>
      <w:r>
        <w:rPr>
          <w:rFonts w:ascii="游ゴシック" w:hAnsi="游ゴシック"/>
          <w:b/>
          <w:color w:val="C0392B"/>
          <w:sz w:val="22"/>
        </w:rPr>
        <w:t>STEP 5: 事後対応・再発防止（会社）</w:t>
      </w:r>
    </w:p>
    <w:p>
      <w:r>
        <w:rPr>
          <w:rFonts w:ascii="ＭＳ 明朝" w:hAnsi="ＭＳ 明朝"/>
          <w:b w:val="0"/>
          <w:sz w:val="20"/>
        </w:rPr>
        <w:t>・カスハラ対応記録シート（別紙）に記録・保管する</w:t>
        <w:br/>
        <w:t>・再発防止策を検討・実施する（マニュアル更新・研修・体制整備）</w:t>
        <w:br/>
        <w:t>・定期的に対応状況を集計し、経営会議等で報告する</w:t>
      </w:r>
    </w:p>
    <w:p/>
    <w:p>
      <w:r>
        <w:rPr>
          <w:rFonts w:ascii="游ゴシック" w:hAnsi="游ゴシック"/>
          <w:b/>
          <w:color w:val="2C3E50"/>
          <w:sz w:val="26"/>
        </w:rPr>
        <w:t>第4章　業種別の注意事項</w:t>
      </w:r>
    </w:p>
    <w:p>
      <w:r>
        <w:rPr>
          <w:rFonts w:ascii="游ゴシック" w:hAnsi="游ゴシック"/>
          <w:b/>
          <w:color w:val="D35600"/>
          <w:sz w:val="22"/>
        </w:rPr>
        <w:t>■ 小売・流通業</w:t>
      </w:r>
    </w:p>
    <w:p>
      <w:r>
        <w:rPr>
          <w:rFonts w:ascii="ＭＳ 明朝" w:hAnsi="ＭＳ 明朝"/>
          <w:b w:val="0"/>
          <w:sz w:val="20"/>
        </w:rPr>
        <w:t>・レジ・接客時の暴言・長時間クレームに注意。複数スタッフでの対応を徹底する</w:t>
        <w:br/>
        <w:t>・返品・交換要求が商品の性質上応じられない場合は理由を明示して断る</w:t>
        <w:br/>
        <w:t>・防犯カメラの存在を周知することで抑止効果を高める</w:t>
      </w:r>
    </w:p>
    <w:p>
      <w:r>
        <w:rPr>
          <w:rFonts w:ascii="游ゴシック" w:hAnsi="游ゴシック"/>
          <w:b/>
          <w:color w:val="D35600"/>
          <w:sz w:val="22"/>
        </w:rPr>
        <w:t>■ 飲食業</w:t>
      </w:r>
    </w:p>
    <w:p>
      <w:r>
        <w:rPr>
          <w:rFonts w:ascii="ＭＳ 明朝" w:hAnsi="ＭＳ 明朝"/>
          <w:b w:val="0"/>
          <w:sz w:val="20"/>
        </w:rPr>
        <w:t>・厨房・ホール従業員へのハラスメントに注意。店長が迅速に介入する体制を整える</w:t>
        <w:br/>
        <w:t>・SNSでの虚偽投稿・脅迫には証拠保全のうえ法的対応を検討する</w:t>
        <w:br/>
        <w:t>・クレーム対応中の録音は事前に相手へ告知する（または告知なし自己メモとして保全）</w:t>
      </w:r>
    </w:p>
    <w:p>
      <w:r>
        <w:rPr>
          <w:rFonts w:ascii="游ゴシック" w:hAnsi="游ゴシック"/>
          <w:b/>
          <w:color w:val="D35600"/>
          <w:sz w:val="22"/>
        </w:rPr>
        <w:t>■ 医療・介護・福祉</w:t>
      </w:r>
    </w:p>
    <w:p>
      <w:r>
        <w:rPr>
          <w:rFonts w:ascii="ＭＳ 明朝" w:hAnsi="ＭＳ 明朝"/>
          <w:b w:val="0"/>
          <w:sz w:val="20"/>
        </w:rPr>
        <w:t>・患者・利用者・家族からのハラスメントは職種を問わず対象となる</w:t>
        <w:br/>
        <w:t>・施設管理者は被害者のバックアップ体制と迅速な報告ルートを確保する</w:t>
        <w:br/>
        <w:t>・暴力行為はいかなる場合も容認せず、状況に応じて診療・サービス継続を断る権限を管理者に付与する</w:t>
      </w:r>
    </w:p>
    <w:p>
      <w:r>
        <w:rPr>
          <w:rFonts w:ascii="游ゴシック" w:hAnsi="游ゴシック"/>
          <w:b/>
          <w:color w:val="D35600"/>
          <w:sz w:val="22"/>
        </w:rPr>
        <w:t>■ コールセンター・通信販売</w:t>
      </w:r>
    </w:p>
    <w:p>
      <w:r>
        <w:rPr>
          <w:rFonts w:ascii="ＭＳ 明朝" w:hAnsi="ＭＳ 明朝"/>
          <w:b w:val="0"/>
          <w:sz w:val="20"/>
        </w:rPr>
        <w:t>・長時間の叱責・暴言通話は録音し証拠として保全する</w:t>
        <w:br/>
        <w:t>・対応終了の判断基準（〇分以上の暴言が続いた場合は通話終了可）を事前にルール化する</w:t>
        <w:br/>
        <w:t>・対応後のメンタルフォロー（休憩・声かけ・ケア面談）を必ず実施する</w:t>
      </w:r>
    </w:p>
    <w:p>
      <w:r>
        <w:rPr>
          <w:rFonts w:ascii="游ゴシック" w:hAnsi="游ゴシック"/>
          <w:b/>
          <w:color w:val="D35600"/>
          <w:sz w:val="22"/>
        </w:rPr>
        <w:t>■ 不動産・建設・専門サービス</w:t>
      </w:r>
    </w:p>
    <w:p>
      <w:r>
        <w:rPr>
          <w:rFonts w:ascii="ＭＳ 明朝" w:hAnsi="ＭＳ 明朝"/>
          <w:b w:val="0"/>
          <w:sz w:val="20"/>
        </w:rPr>
        <w:t>・業務遂行妨害・居座り・付きまといなどは不退去罪・業務妨害罪に該当する可能性がある</w:t>
        <w:br/>
        <w:t>・契約前の過度な要求（割引・特典の強要）には上限を設けて毅然と対応する</w:t>
        <w:br/>
        <w:t>・取引先企業からのカスハラも対象となる。担当者交代・取引中止も選択肢に含める</w:t>
      </w:r>
    </w:p>
    <w:p/>
    <w:p>
      <w:r>
        <w:rPr>
          <w:rFonts w:ascii="游ゴシック" w:hAnsi="游ゴシック"/>
          <w:b/>
          <w:color w:val="2C3E50"/>
          <w:sz w:val="26"/>
        </w:rPr>
        <w:t>付記　法令根拠</w:t>
      </w:r>
    </w:p>
    <w:p>
      <w:r>
        <w:rPr>
          <w:rFonts w:ascii="ＭＳ 明朝" w:hAnsi="ＭＳ 明朝"/>
          <w:b w:val="0"/>
          <w:sz w:val="18"/>
        </w:rPr>
        <w:t>本マニュアルは以下の法令・指針に基づいています。</w:t>
        <w:br/>
        <w:t>・労働施策総合推進法（令和7年6月11日改正・令和8年10月1日施行予定）</w:t>
        <w:br/>
        <w:t>・厚生労働省「事業主が職場における顧客等の言動に起因する問題に関して雇用管理上講ずべき措置等についての指針」</w:t>
        <w:br/>
        <w:t>・労働基準法（安全衛生・職場環境整備義務）</w:t>
        <w:br/>
        <w:t>・刑法（暴行罪・脅迫罪・業務妨害罪等）</w:t>
        <w:br/>
        <w:t>※ 施行日・指針の詳細は厚生労働省公式サイトで最新情報を確認してください。</w:t>
        <w:br/>
        <w:t>※ 本資料は一般情報です。個別事案の判断は社会保険労務士・弁護士にご相談ください。</w:t>
      </w:r>
    </w:p>
    <w:p/>
    <w:p>
      <w:r>
        <w:rPr>
          <w:rFonts w:ascii="ＭＳ 明朝" w:hAnsi="ＭＳ 明朝"/>
          <w:b w:val="0"/>
          <w:color w:val="707070"/>
          <w:sz w:val="18"/>
        </w:rPr>
        <w:t>※ 本マニュアルは労働施策総合推進法改正（令和7年6月11日公布・令和8年10月1日施行予定）に対応した雛型です。</w:t>
      </w:r>
    </w:p>
    <w:p>
      <w:r>
        <w:rPr>
          <w:rFonts w:ascii="ＭＳ 明朝" w:hAnsi="ＭＳ 明朝"/>
          <w:b w:val="0"/>
          <w:color w:val="707070"/>
          <w:sz w:val="18"/>
        </w:rPr>
        <w:t>※ 施行日・指針の詳細は必ず厚生労働省公式サイト（https://www.mhlw.go.jp/）で確認してください。</w:t>
      </w:r>
    </w:p>
    <w:p>
      <w:r>
        <w:rPr>
          <w:rFonts w:ascii="ＭＳ 明朝" w:hAnsi="ＭＳ 明朝"/>
          <w:b w:val="0"/>
          <w:color w:val="707070"/>
          <w:sz w:val="18"/>
        </w:rPr>
        <w:t>※ 個別事案の判断・社内規程の整備については、社会保険労務士・弁護士にご相談ください。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