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template-free.jp／法定三帳簿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賃　金　台　帳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（労働基準法第108条・労働基準法施行規則第54条 準拠）</w:t>
      </w:r>
    </w:p>
    <w:p>
      <w:pPr>
        <w:spacing w:before="0" w:after="160" w:line="256" w:lineRule="exact"/>
      </w:pPr>
      <w:r>
        <w:rPr>
          <w:rFonts w:ascii="Yu Gothic" w:hAnsi="Yu Gothic" w:eastAsia="Yu Gothic"/>
          <w:b w:val="0"/>
          <w:i w:val="0"/>
          <w:color w:val="1A1A1A"/>
          <w:sz w:val="16"/>
        </w:rPr>
        <w:t>事業場名：　　　　　　　　　　　　賃金計算期間：　　年　月　日〜　　年　月　日　　支払日：　　年　月　日</w:t>
      </w:r>
    </w:p>
    <w:tbl>
      <w:tblPr>
        <w:tblW w:type="dxa" w:w="9865"/>
        <w:tblInd w:w="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</w:tblGrid>
      <w:tr>
        <w:trPr>
          <w:cantSplit/>
          <w:trHeight w:val="737" w:hRule="atLeast"/>
        </w:trPr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氏名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性別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労働日数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労働時間数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時間外労働時間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休日労働時間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深夜労働時間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基本給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役職手当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通勤手当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時間外手当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休日手当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深夜手当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支給合計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健康保険料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厚生年金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雇用保険料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所得税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住民税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控除合計</w:t>
            </w:r>
          </w:p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16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1"/>
              </w:rPr>
              <w:t>差引支給額</w:t>
            </w:r>
          </w:p>
        </w:tc>
      </w:tr>
      <w:tr>
        <w:trPr>
          <w:cantSplit/>
          <w:trHeight w:val="482" w:hRule="atLeast"/>
        </w:trPr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/>
        </w:tc>
      </w:tr>
      <w:tr>
        <w:trPr>
          <w:cantSplit/>
          <w:trHeight w:val="482" w:hRule="atLeast"/>
        </w:trPr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/>
        </w:tc>
      </w:tr>
      <w:tr>
        <w:trPr>
          <w:cantSplit/>
          <w:trHeight w:val="482" w:hRule="atLeast"/>
        </w:trPr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/>
        </w:tc>
      </w:tr>
      <w:tr>
        <w:trPr>
          <w:cantSplit/>
          <w:trHeight w:val="482" w:hRule="atLeast"/>
        </w:trPr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/>
        </w:tc>
      </w:tr>
      <w:tr>
        <w:trPr>
          <w:cantSplit/>
          <w:trHeight w:val="482" w:hRule="atLeast"/>
        </w:trPr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/>
        </w:tc>
        <w:tc>
          <w:tcPr>
            <w:tcW w:type="dxa" w:w="470"/>
            <w:tcMar>
              <w:top w:w="34" w:type="dxa"/>
              <w:bottom w:w="34" w:type="dxa"/>
              <w:left w:w="28" w:type="dxa"/>
              <w:right w:w="28" w:type="dxa"/>
            </w:tcMar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/>
        </w:tc>
      </w:tr>
    </w:tbl>
    <w:p>
      <w:pPr>
        <w:spacing w:before="0" w:after="0" w:line="113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【記載事項の根拠】 氏名・性別・賃金計算期間・労働日数・労働時間数・時間外/休日/深夜の各労働時間数・基本給/手当等の種類ごとの額・控除額の8項目＝労働基準法施行規則第54条1項。日雇い労働者（1箇月超継続使用者を除く）は賃金計算期間の記入不要（同条4項）。管理監督者等・高度プロフェッショナル制度対象者は労働時間数・時間外等の各時間数の記入不要（同条5項）。保存期間：労基法109条により5年間（附則143条の経過措置により当分の間3年間）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