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ゴシック" w:hAnsi="ＭＳ ゴシック"/>
          <w:b/>
          <w:color w:val="1F4E79"/>
          <w:sz w:val="32"/>
        </w:rPr>
        <w:t>事業継続計画（BCP）</w:t>
      </w:r>
    </w:p>
    <w:p>
      <w:pPr>
        <w:jc w:val="center"/>
      </w:pPr>
      <w:r>
        <w:rPr>
          <w:rFonts w:ascii="ＭＳ 明朝" w:hAnsi="ＭＳ 明朝"/>
          <w:color w:val="CC2222"/>
          <w:sz w:val="18"/>
        </w:rPr>
        <w:t>中小企業向け標準版 ／ 内閣府事業継続ガイドライン（令和5年3月版）準拠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3288"/>
          </w:tcPr>
          <w:p>
            <w:r>
              <w:t xml:space="preserve">　　年　　月　　日</w:t>
            </w:r>
          </w:p>
        </w:tc>
        <w:tc>
          <w:tcPr>
            <w:tcW w:type="dxa" w:w="1814"/>
            <w:shd w:val="clear" w:color="auto" w:fill="D6E4F0"/>
          </w:tcPr>
          <w:p>
            <w:r>
              <w:t>版数</w:t>
            </w:r>
          </w:p>
        </w:tc>
        <w:tc>
          <w:tcPr>
            <w:tcW w:type="dxa" w:w="3288"/>
          </w:tcPr>
          <w:p>
            <w:r>
              <w:t>第　　版</w:t>
            </w:r>
          </w:p>
        </w:tc>
      </w:tr>
      <w:tr>
        <w:tc>
          <w:tcPr>
            <w:tcW w:type="dxa" w:w="1814"/>
            <w:shd w:val="clear" w:color="auto" w:fill="D6E4F0"/>
          </w:tcPr>
          <w:p>
            <w:r>
              <w:t>会社名</w:t>
            </w:r>
          </w:p>
        </w:tc>
        <w:tc>
          <w:tcPr>
            <w:tcW w:type="dxa" w:w="3288"/>
          </w:tcPr>
          <w:p>
            <w:r>
              <w:t xml:space="preserve">　　　　　　　　　　　</w:t>
            </w:r>
          </w:p>
        </w:tc>
        <w:tc>
          <w:tcPr>
            <w:tcW w:type="dxa" w:w="1814"/>
            <w:shd w:val="clear" w:color="auto" w:fill="D6E4F0"/>
          </w:tcPr>
          <w:p>
            <w:r>
              <w:t>代表者名</w:t>
            </w:r>
          </w:p>
        </w:tc>
        <w:tc>
          <w:tcPr>
            <w:tcW w:type="dxa" w:w="3288"/>
          </w:tcPr>
          <w:p>
            <w:r>
              <w:t xml:space="preserve">　　　　　　　㊞</w:t>
            </w:r>
          </w:p>
        </w:tc>
      </w:tr>
      <w:tr>
        <w:tc>
          <w:tcPr>
            <w:tcW w:type="dxa" w:w="1814"/>
            <w:shd w:val="clear" w:color="auto" w:fill="D6E4F0"/>
          </w:tcPr>
          <w:p>
            <w:r>
              <w:t>住所</w:t>
            </w:r>
          </w:p>
        </w:tc>
        <w:tc>
          <w:tcPr>
            <w:tcW w:type="dxa" w:w="3288"/>
          </w:tcPr>
          <w:p>
            <w:r>
              <w:t xml:space="preserve">　　　　　　　　　　　　　　</w:t>
            </w:r>
          </w:p>
        </w:tc>
        <w:tc>
          <w:tcPr>
            <w:tcW w:type="dxa" w:w="1814"/>
            <w:shd w:val="clear" w:color="auto" w:fill="D6E4F0"/>
          </w:tcPr>
          <w:p>
            <w:r>
              <w:t>電話番号</w:t>
            </w:r>
          </w:p>
        </w:tc>
        <w:tc>
          <w:tcPr>
            <w:tcW w:type="dxa" w:w="3288"/>
          </w:tcPr>
          <w:p>
            <w:r>
              <w:t xml:space="preserve">　　　　　　　</w:t>
            </w:r>
          </w:p>
        </w:tc>
      </w:tr>
      <w:tr>
        <w:tc>
          <w:tcPr>
            <w:tcW w:type="dxa" w:w="1814"/>
            <w:shd w:val="clear" w:color="auto" w:fill="D6E4F0"/>
          </w:tcPr>
          <w:p>
            <w:r>
              <w:t>業種</w:t>
            </w:r>
          </w:p>
        </w:tc>
        <w:tc>
          <w:tcPr>
            <w:tcW w:type="dxa" w:w="3288"/>
          </w:tcPr>
          <w:p>
            <w:r>
              <w:t xml:space="preserve">　　　　　　　</w:t>
            </w:r>
          </w:p>
        </w:tc>
        <w:tc>
          <w:tcPr>
            <w:tcW w:type="dxa" w:w="1814"/>
            <w:shd w:val="clear" w:color="auto" w:fill="D6E4F0"/>
          </w:tcPr>
          <w:p>
            <w:r>
              <w:t>従業員数</w:t>
            </w:r>
          </w:p>
        </w:tc>
        <w:tc>
          <w:tcPr>
            <w:tcW w:type="dxa" w:w="3288"/>
          </w:tcPr>
          <w:p>
            <w:r>
              <w:t xml:space="preserve">　　　名</w:t>
            </w:r>
          </w:p>
        </w:tc>
      </w:tr>
    </w:tbl>
    <w:p/>
    <w:p>
      <w:pPr>
        <w:spacing w:before="160" w:after="40"/>
      </w:pPr>
      <w:r>
        <w:rPr>
          <w:rFonts w:ascii="ＭＳ ゴシック" w:hAnsi="ＭＳ ゴシック"/>
          <w:b/>
          <w:color w:val="2E74B5"/>
          <w:sz w:val="22"/>
        </w:rPr>
        <w:t>第1章　基本方針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551"/>
            <w:shd w:val="clear" w:color="auto" w:fill="D6E4F0"/>
          </w:tcPr>
          <w:p>
            <w:r>
              <w:t>事業継続の基本方針</w:t>
            </w:r>
          </w:p>
        </w:tc>
        <w:tc>
          <w:tcPr>
            <w:tcW w:type="dxa" w:w="7654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対象とする緊急事態</w:t>
              <w:br/>
              <w:t>（該当するものに☑）</w:t>
            </w:r>
          </w:p>
        </w:tc>
        <w:tc>
          <w:tcPr>
            <w:tcW w:type="dxa" w:w="7654"/>
          </w:tcPr>
          <w:p>
            <w:r>
              <w:t>□ 感染症（新型インフルエンザ・コロナ等）</w:t>
              <w:br/>
              <w:t>□ 水害（集中豪雨・台風・河川氾濫）</w:t>
              <w:br/>
              <w:t>□ 地震（直下型・海溝型）</w:t>
              <w:br/>
              <w:t>□ 火災・爆発　□ サイバー攻撃　□ その他（　　　　　）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計画の適用範囲</w:t>
            </w:r>
          </w:p>
        </w:tc>
        <w:tc>
          <w:tcPr>
            <w:tcW w:type="dxa" w:w="7654"/>
          </w:tcPr>
          <w:p>
            <w:r>
              <w:t xml:space="preserve">全社 ／ 部門：　　　　　　　　</w:t>
            </w:r>
          </w:p>
        </w:tc>
      </w:tr>
    </w:tbl>
    <w:p/>
    <w:p>
      <w:pPr>
        <w:spacing w:before="160" w:after="40"/>
      </w:pPr>
      <w:r>
        <w:rPr>
          <w:rFonts w:ascii="ＭＳ ゴシック" w:hAnsi="ＭＳ ゴシック"/>
          <w:b/>
          <w:color w:val="2E74B5"/>
          <w:sz w:val="22"/>
        </w:rPr>
        <w:t>第2章　重要業務（中核事業）の特定</w:t>
      </w:r>
    </w:p>
    <w:p>
      <w:pPr>
        <w:spacing w:after="40"/>
      </w:pPr>
      <w:r>
        <w:rPr>
          <w:rFonts w:ascii="ＭＳ 明朝" w:hAnsi="ＭＳ 明朝"/>
          <w:sz w:val="20"/>
        </w:rPr>
        <w:t>※ 売上・顧客への影響が大きい業務を優先度順に記載してください。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247"/>
            <w:shd w:val="clear" w:color="auto" w:fill="1F4E79"/>
          </w:tcPr>
          <w:p>
            <w:r>
              <w:rPr>
                <w:b/>
                <w:color w:val="FFFFFF"/>
              </w:rPr>
              <w:t>優先順位</w:t>
            </w:r>
          </w:p>
        </w:tc>
        <w:tc>
          <w:tcPr>
            <w:tcW w:type="dxa" w:w="2551"/>
            <w:shd w:val="clear" w:color="auto" w:fill="1F4E79"/>
          </w:tcPr>
          <w:p>
            <w:r>
              <w:rPr>
                <w:b/>
                <w:color w:val="FFFFFF"/>
              </w:rPr>
              <w:t>業務名</w:t>
            </w:r>
          </w:p>
        </w:tc>
        <w:tc>
          <w:tcPr>
            <w:tcW w:type="dxa" w:w="1984"/>
            <w:shd w:val="clear" w:color="auto" w:fill="1F4E79"/>
          </w:tcPr>
          <w:p>
            <w:r>
              <w:rPr>
                <w:b/>
                <w:color w:val="FFFFFF"/>
              </w:rPr>
              <w:t>担当部門/担当者</w:t>
            </w:r>
          </w:p>
        </w:tc>
        <w:tc>
          <w:tcPr>
            <w:tcW w:type="dxa" w:w="1701"/>
            <w:shd w:val="clear" w:color="auto" w:fill="1F4E79"/>
          </w:tcPr>
          <w:p>
            <w:r>
              <w:rPr>
                <w:b/>
                <w:color w:val="FFFFFF"/>
              </w:rPr>
              <w:t>目標復旧時間</w:t>
              <w:br/>
              <w:t>（RTO）</w:t>
            </w:r>
          </w:p>
        </w:tc>
        <w:tc>
          <w:tcPr>
            <w:tcW w:type="dxa" w:w="2154"/>
            <w:shd w:val="clear" w:color="auto" w:fill="1F4E79"/>
          </w:tcPr>
          <w:p>
            <w:r>
              <w:rPr>
                <w:b/>
                <w:color w:val="FFFFFF"/>
              </w:rPr>
              <w:t>目標復旧水準</w:t>
              <w:br/>
              <w:t>（RLO）</w:t>
            </w:r>
          </w:p>
        </w:tc>
      </w:tr>
      <w:tr>
        <w:tc>
          <w:tcPr>
            <w:tcW w:type="dxa" w:w="1247"/>
          </w:tcPr>
          <w:p>
            <w:r>
              <w:t>□ 最重要　□ 重要　□ 通常</w:t>
            </w:r>
          </w:p>
        </w:tc>
        <w:tc>
          <w:tcPr>
            <w:tcW w:type="dxa" w:w="2551"/>
          </w:tcPr>
          <w:p/>
        </w:tc>
        <w:tc>
          <w:tcPr>
            <w:tcW w:type="dxa" w:w="1984"/>
          </w:tcPr>
          <w:p/>
        </w:tc>
        <w:tc>
          <w:tcPr>
            <w:tcW w:type="dxa" w:w="1701"/>
          </w:tcPr>
          <w:p/>
        </w:tc>
        <w:tc>
          <w:tcPr>
            <w:tcW w:type="dxa" w:w="2154"/>
          </w:tcPr>
          <w:p/>
        </w:tc>
      </w:tr>
      <w:tr>
        <w:tc>
          <w:tcPr>
            <w:tcW w:type="dxa" w:w="1247"/>
          </w:tcPr>
          <w:p>
            <w:r>
              <w:t>□ 最重要　□ 重要　□ 通常</w:t>
            </w:r>
          </w:p>
        </w:tc>
        <w:tc>
          <w:tcPr>
            <w:tcW w:type="dxa" w:w="2551"/>
          </w:tcPr>
          <w:p/>
        </w:tc>
        <w:tc>
          <w:tcPr>
            <w:tcW w:type="dxa" w:w="1984"/>
          </w:tcPr>
          <w:p/>
        </w:tc>
        <w:tc>
          <w:tcPr>
            <w:tcW w:type="dxa" w:w="1701"/>
          </w:tcPr>
          <w:p/>
        </w:tc>
        <w:tc>
          <w:tcPr>
            <w:tcW w:type="dxa" w:w="2154"/>
          </w:tcPr>
          <w:p/>
        </w:tc>
      </w:tr>
      <w:tr>
        <w:tc>
          <w:tcPr>
            <w:tcW w:type="dxa" w:w="1247"/>
          </w:tcPr>
          <w:p>
            <w:r>
              <w:t>□ 最重要　□ 重要　□ 通常</w:t>
            </w:r>
          </w:p>
        </w:tc>
        <w:tc>
          <w:tcPr>
            <w:tcW w:type="dxa" w:w="2551"/>
          </w:tcPr>
          <w:p/>
        </w:tc>
        <w:tc>
          <w:tcPr>
            <w:tcW w:type="dxa" w:w="1984"/>
          </w:tcPr>
          <w:p/>
        </w:tc>
        <w:tc>
          <w:tcPr>
            <w:tcW w:type="dxa" w:w="1701"/>
          </w:tcPr>
          <w:p/>
        </w:tc>
        <w:tc>
          <w:tcPr>
            <w:tcW w:type="dxa" w:w="2154"/>
          </w:tcPr>
          <w:p/>
        </w:tc>
      </w:tr>
      <w:tr>
        <w:tc>
          <w:tcPr>
            <w:tcW w:type="dxa" w:w="1247"/>
          </w:tcPr>
          <w:p>
            <w:r>
              <w:t>□ 最重要　□ 重要　□ 通常</w:t>
            </w:r>
          </w:p>
        </w:tc>
        <w:tc>
          <w:tcPr>
            <w:tcW w:type="dxa" w:w="2551"/>
          </w:tcPr>
          <w:p/>
        </w:tc>
        <w:tc>
          <w:tcPr>
            <w:tcW w:type="dxa" w:w="1984"/>
          </w:tcPr>
          <w:p/>
        </w:tc>
        <w:tc>
          <w:tcPr>
            <w:tcW w:type="dxa" w:w="1701"/>
          </w:tcPr>
          <w:p/>
        </w:tc>
        <w:tc>
          <w:tcPr>
            <w:tcW w:type="dxa" w:w="2154"/>
          </w:tcPr>
          <w:p/>
        </w:tc>
      </w:tr>
      <w:tr>
        <w:tc>
          <w:tcPr>
            <w:tcW w:type="dxa" w:w="1247"/>
          </w:tcPr>
          <w:p>
            <w:r>
              <w:t>□ 最重要　□ 重要　□ 通常</w:t>
            </w:r>
          </w:p>
        </w:tc>
        <w:tc>
          <w:tcPr>
            <w:tcW w:type="dxa" w:w="2551"/>
          </w:tcPr>
          <w:p/>
        </w:tc>
        <w:tc>
          <w:tcPr>
            <w:tcW w:type="dxa" w:w="1984"/>
          </w:tcPr>
          <w:p/>
        </w:tc>
        <w:tc>
          <w:tcPr>
            <w:tcW w:type="dxa" w:w="1701"/>
          </w:tcPr>
          <w:p/>
        </w:tc>
        <w:tc>
          <w:tcPr>
            <w:tcW w:type="dxa" w:w="2154"/>
          </w:tcPr>
          <w:p/>
        </w:tc>
      </w:tr>
    </w:tbl>
    <w:p/>
    <w:p>
      <w:pPr>
        <w:spacing w:before="160" w:after="40"/>
      </w:pPr>
      <w:r>
        <w:rPr>
          <w:rFonts w:ascii="ＭＳ ゴシック" w:hAnsi="ＭＳ ゴシック"/>
          <w:b/>
          <w:color w:val="2E74B5"/>
          <w:sz w:val="22"/>
        </w:rPr>
        <w:t>第3章　影響分析（BIA: Business Impact Analysis）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551"/>
            <w:shd w:val="clear" w:color="auto" w:fill="1F4E79"/>
          </w:tcPr>
          <w:p>
            <w:r>
              <w:rPr>
                <w:b/>
                <w:color w:val="FFFFFF"/>
              </w:rPr>
              <w:t>影響要因</w:t>
            </w:r>
          </w:p>
        </w:tc>
        <w:tc>
          <w:tcPr>
            <w:tcW w:type="dxa" w:w="1984"/>
            <w:shd w:val="clear" w:color="auto" w:fill="1F4E79"/>
          </w:tcPr>
          <w:p>
            <w:r>
              <w:rPr>
                <w:b/>
                <w:color w:val="FFFFFF"/>
              </w:rPr>
              <w:t>財務的影響</w:t>
            </w:r>
          </w:p>
        </w:tc>
        <w:tc>
          <w:tcPr>
            <w:tcW w:type="dxa" w:w="2268"/>
            <w:shd w:val="clear" w:color="auto" w:fill="1F4E79"/>
          </w:tcPr>
          <w:p>
            <w:r>
              <w:rPr>
                <w:b/>
                <w:color w:val="FFFFFF"/>
              </w:rPr>
              <w:t>業務停止期間の目安</w:t>
            </w:r>
          </w:p>
        </w:tc>
        <w:tc>
          <w:tcPr>
            <w:tcW w:type="dxa" w:w="2835"/>
            <w:shd w:val="clear" w:color="auto" w:fill="1F4E79"/>
          </w:tcPr>
          <w:p>
            <w:r>
              <w:rPr>
                <w:b/>
                <w:color w:val="FFFFFF"/>
              </w:rPr>
              <w:t>顧客・取引先への影響</w:t>
            </w:r>
          </w:p>
        </w:tc>
      </w:tr>
      <w:tr>
        <w:tc>
          <w:tcPr>
            <w:tcW w:type="dxa" w:w="2551"/>
          </w:tcPr>
          <w:p>
            <w:r>
              <w:t>感染症（在宅勤務・人員不足）</w:t>
            </w:r>
          </w:p>
        </w:tc>
        <w:tc>
          <w:tcPr>
            <w:tcW w:type="dxa" w:w="1984"/>
          </w:tcPr>
          <w:p/>
        </w:tc>
        <w:tc>
          <w:tcPr>
            <w:tcW w:type="dxa" w:w="2268"/>
          </w:tcPr>
          <w:p/>
        </w:tc>
        <w:tc>
          <w:tcPr>
            <w:tcW w:type="dxa" w:w="2835"/>
          </w:tcPr>
          <w:p/>
        </w:tc>
      </w:tr>
      <w:tr>
        <w:tc>
          <w:tcPr>
            <w:tcW w:type="dxa" w:w="2551"/>
          </w:tcPr>
          <w:p>
            <w:r>
              <w:t>水害（拠点浸水・設備損壊）</w:t>
            </w:r>
          </w:p>
        </w:tc>
        <w:tc>
          <w:tcPr>
            <w:tcW w:type="dxa" w:w="1984"/>
          </w:tcPr>
          <w:p/>
        </w:tc>
        <w:tc>
          <w:tcPr>
            <w:tcW w:type="dxa" w:w="2268"/>
          </w:tcPr>
          <w:p/>
        </w:tc>
        <w:tc>
          <w:tcPr>
            <w:tcW w:type="dxa" w:w="2835"/>
          </w:tcPr>
          <w:p/>
        </w:tc>
      </w:tr>
      <w:tr>
        <w:tc>
          <w:tcPr>
            <w:tcW w:type="dxa" w:w="2551"/>
          </w:tcPr>
          <w:p>
            <w:r>
              <w:t>地震（建物損壊・帰宅困難）</w:t>
            </w:r>
          </w:p>
        </w:tc>
        <w:tc>
          <w:tcPr>
            <w:tcW w:type="dxa" w:w="1984"/>
          </w:tcPr>
          <w:p/>
        </w:tc>
        <w:tc>
          <w:tcPr>
            <w:tcW w:type="dxa" w:w="2268"/>
          </w:tcPr>
          <w:p/>
        </w:tc>
        <w:tc>
          <w:tcPr>
            <w:tcW w:type="dxa" w:w="2835"/>
          </w:tcPr>
          <w:p/>
        </w:tc>
      </w:tr>
      <w:tr>
        <w:tc>
          <w:tcPr>
            <w:tcW w:type="dxa" w:w="2551"/>
          </w:tcPr>
          <w:p>
            <w:r>
              <w:t>電力・通信インフラ停止</w:t>
            </w:r>
          </w:p>
        </w:tc>
        <w:tc>
          <w:tcPr>
            <w:tcW w:type="dxa" w:w="1984"/>
          </w:tcPr>
          <w:p/>
        </w:tc>
        <w:tc>
          <w:tcPr>
            <w:tcW w:type="dxa" w:w="2268"/>
          </w:tcPr>
          <w:p/>
        </w:tc>
        <w:tc>
          <w:tcPr>
            <w:tcW w:type="dxa" w:w="2835"/>
          </w:tcPr>
          <w:p/>
        </w:tc>
      </w:tr>
      <w:tr>
        <w:tc>
          <w:tcPr>
            <w:tcW w:type="dxa" w:w="2551"/>
          </w:tcPr>
          <w:p>
            <w:r>
              <w:t>主要サプライヤー停止</w:t>
            </w:r>
          </w:p>
        </w:tc>
        <w:tc>
          <w:tcPr>
            <w:tcW w:type="dxa" w:w="1984"/>
          </w:tcPr>
          <w:p/>
        </w:tc>
        <w:tc>
          <w:tcPr>
            <w:tcW w:type="dxa" w:w="2268"/>
          </w:tcPr>
          <w:p/>
        </w:tc>
        <w:tc>
          <w:tcPr>
            <w:tcW w:type="dxa" w:w="2835"/>
          </w:tcPr>
          <w:p/>
        </w:tc>
      </w:tr>
    </w:tbl>
    <w:p/>
    <w:p>
      <w:pPr>
        <w:spacing w:before="160" w:after="40"/>
      </w:pPr>
      <w:r>
        <w:rPr>
          <w:rFonts w:ascii="ＭＳ ゴシック" w:hAnsi="ＭＳ ゴシック"/>
          <w:b/>
          <w:color w:val="2E74B5"/>
          <w:sz w:val="22"/>
        </w:rPr>
        <w:t>第4章　事前対策（予防・軽減措置）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835"/>
            <w:shd w:val="clear" w:color="auto" w:fill="1F4E79"/>
          </w:tcPr>
          <w:p>
            <w:r>
              <w:rPr>
                <w:b/>
                <w:color w:val="FFFFFF"/>
              </w:rPr>
              <w:t>対策項目</w:t>
            </w:r>
          </w:p>
        </w:tc>
        <w:tc>
          <w:tcPr>
            <w:tcW w:type="dxa" w:w="3685"/>
            <w:shd w:val="clear" w:color="auto" w:fill="1F4E79"/>
          </w:tcPr>
          <w:p>
            <w:r>
              <w:rPr>
                <w:b/>
                <w:color w:val="FFFFFF"/>
              </w:rPr>
              <w:t>具体的な対策内容</w:t>
            </w:r>
          </w:p>
        </w:tc>
        <w:tc>
          <w:tcPr>
            <w:tcW w:type="dxa" w:w="1701"/>
            <w:shd w:val="clear" w:color="auto" w:fill="1F4E79"/>
          </w:tcPr>
          <w:p>
            <w:r>
              <w:rPr>
                <w:b/>
                <w:color w:val="FFFFFF"/>
              </w:rPr>
              <w:t>担当者</w:t>
            </w:r>
          </w:p>
        </w:tc>
        <w:tc>
          <w:tcPr>
            <w:tcW w:type="dxa" w:w="1984"/>
            <w:shd w:val="clear" w:color="auto" w:fill="1F4E79"/>
          </w:tcPr>
          <w:p>
            <w:r>
              <w:rPr>
                <w:b/>
                <w:color w:val="FFFFFF"/>
              </w:rPr>
              <w:t>実施期限</w:t>
            </w:r>
          </w:p>
        </w:tc>
      </w:tr>
      <w:tr>
        <w:tc>
          <w:tcPr>
            <w:tcW w:type="dxa" w:w="2835"/>
          </w:tcPr>
          <w:p>
            <w:r>
              <w:t>データ・書類のバックアップ</w:t>
            </w:r>
          </w:p>
        </w:tc>
        <w:tc>
          <w:tcPr>
            <w:tcW w:type="dxa" w:w="3685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2835"/>
          </w:tcPr>
          <w:p>
            <w:r>
              <w:t>代替調達先の確保（2社以上）</w:t>
            </w:r>
          </w:p>
        </w:tc>
        <w:tc>
          <w:tcPr>
            <w:tcW w:type="dxa" w:w="3685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2835"/>
          </w:tcPr>
          <w:p>
            <w:r>
              <w:t>代替拠点・テレワーク環境整備</w:t>
            </w:r>
          </w:p>
        </w:tc>
        <w:tc>
          <w:tcPr>
            <w:tcW w:type="dxa" w:w="3685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2835"/>
          </w:tcPr>
          <w:p>
            <w:r>
              <w:t>従業員安否確認システム導入</w:t>
            </w:r>
          </w:p>
        </w:tc>
        <w:tc>
          <w:tcPr>
            <w:tcW w:type="dxa" w:w="3685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2835"/>
          </w:tcPr>
          <w:p>
            <w:r>
              <w:t>非常用備蓄品の準備</w:t>
            </w:r>
          </w:p>
        </w:tc>
        <w:tc>
          <w:tcPr>
            <w:tcW w:type="dxa" w:w="3685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2835"/>
          </w:tcPr>
          <w:p>
            <w:r>
              <w:t>損害保険の見直し</w:t>
            </w:r>
          </w:p>
        </w:tc>
        <w:tc>
          <w:tcPr>
            <w:tcW w:type="dxa" w:w="3685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</w:tr>
    </w:tbl>
    <w:p/>
    <w:p>
      <w:pPr>
        <w:spacing w:before="160" w:after="40"/>
      </w:pPr>
      <w:r>
        <w:rPr>
          <w:rFonts w:ascii="ＭＳ ゴシック" w:hAnsi="ＭＳ ゴシック"/>
          <w:b/>
          <w:color w:val="2E74B5"/>
          <w:sz w:val="22"/>
        </w:rPr>
        <w:t>第5章　緊急時対応手順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417"/>
            <w:shd w:val="clear" w:color="auto" w:fill="CC2222"/>
          </w:tcPr>
          <w:p>
            <w:r>
              <w:rPr>
                <w:b/>
                <w:color w:val="FFFFFF"/>
              </w:rPr>
              <w:t>フェーズ</w:t>
            </w:r>
          </w:p>
        </w:tc>
        <w:tc>
          <w:tcPr>
            <w:tcW w:type="dxa" w:w="1701"/>
            <w:shd w:val="clear" w:color="auto" w:fill="CC2222"/>
          </w:tcPr>
          <w:p>
            <w:r>
              <w:rPr>
                <w:b/>
                <w:color w:val="FFFFFF"/>
              </w:rPr>
              <w:t>時間目安</w:t>
            </w:r>
          </w:p>
        </w:tc>
        <w:tc>
          <w:tcPr>
            <w:tcW w:type="dxa" w:w="4535"/>
            <w:shd w:val="clear" w:color="auto" w:fill="CC2222"/>
          </w:tcPr>
          <w:p>
            <w:r>
              <w:rPr>
                <w:b/>
                <w:color w:val="FFFFFF"/>
              </w:rPr>
              <w:t>実施事項</w:t>
            </w:r>
          </w:p>
        </w:tc>
        <w:tc>
          <w:tcPr>
            <w:tcW w:type="dxa" w:w="2551"/>
            <w:shd w:val="clear" w:color="auto" w:fill="CC2222"/>
          </w:tcPr>
          <w:p>
            <w:r>
              <w:rPr>
                <w:b/>
                <w:color w:val="FFFFFF"/>
              </w:rPr>
              <w:t>担当者/連絡先</w:t>
            </w:r>
          </w:p>
        </w:tc>
      </w:tr>
      <w:tr>
        <w:tc>
          <w:tcPr>
            <w:tcW w:type="dxa" w:w="1417"/>
            <w:shd w:val="clear" w:color="auto" w:fill="FFE7E7"/>
          </w:tcPr>
          <w:p>
            <w:r>
              <w:t>発生直後</w:t>
            </w:r>
          </w:p>
        </w:tc>
        <w:tc>
          <w:tcPr>
            <w:tcW w:type="dxa" w:w="1701"/>
          </w:tcPr>
          <w:p>
            <w:r>
              <w:t>0〜1時間</w:t>
            </w:r>
          </w:p>
        </w:tc>
        <w:tc>
          <w:tcPr>
            <w:tcW w:type="dxa" w:w="4535"/>
          </w:tcPr>
          <w:p>
            <w:r>
              <w:t>人命安全確認・初期対応指示・状況把握</w:t>
            </w:r>
          </w:p>
        </w:tc>
        <w:tc>
          <w:tcPr>
            <w:tcW w:type="dxa" w:w="2551"/>
          </w:tcPr>
          <w:p/>
        </w:tc>
      </w:tr>
      <w:tr>
        <w:tc>
          <w:tcPr>
            <w:tcW w:type="dxa" w:w="1417"/>
            <w:shd w:val="clear" w:color="auto" w:fill="FFE7E7"/>
          </w:tcPr>
          <w:p>
            <w:r>
              <w:t>初動</w:t>
            </w:r>
          </w:p>
        </w:tc>
        <w:tc>
          <w:tcPr>
            <w:tcW w:type="dxa" w:w="1701"/>
          </w:tcPr>
          <w:p>
            <w:r>
              <w:t>1〜6時間</w:t>
            </w:r>
          </w:p>
        </w:tc>
        <w:tc>
          <w:tcPr>
            <w:tcW w:type="dxa" w:w="4535"/>
          </w:tcPr>
          <w:p>
            <w:r>
              <w:t>緊急連絡先への報告・主要顧客への連絡・代替手段の確認</w:t>
            </w:r>
          </w:p>
        </w:tc>
        <w:tc>
          <w:tcPr>
            <w:tcW w:type="dxa" w:w="2551"/>
          </w:tcPr>
          <w:p/>
        </w:tc>
      </w:tr>
      <w:tr>
        <w:tc>
          <w:tcPr>
            <w:tcW w:type="dxa" w:w="1417"/>
            <w:shd w:val="clear" w:color="auto" w:fill="FFE7E7"/>
          </w:tcPr>
          <w:p>
            <w:r>
              <w:t>応急復旧</w:t>
            </w:r>
          </w:p>
        </w:tc>
        <w:tc>
          <w:tcPr>
            <w:tcW w:type="dxa" w:w="1701"/>
          </w:tcPr>
          <w:p>
            <w:r>
              <w:t>6〜72時間</w:t>
            </w:r>
          </w:p>
        </w:tc>
        <w:tc>
          <w:tcPr>
            <w:tcW w:type="dxa" w:w="4535"/>
          </w:tcPr>
          <w:p>
            <w:r>
              <w:t>重要業務の最小限継続・代替調達先への発注・在宅勤務移行</w:t>
            </w:r>
          </w:p>
        </w:tc>
        <w:tc>
          <w:tcPr>
            <w:tcW w:type="dxa" w:w="2551"/>
          </w:tcPr>
          <w:p/>
        </w:tc>
      </w:tr>
      <w:tr>
        <w:tc>
          <w:tcPr>
            <w:tcW w:type="dxa" w:w="1417"/>
            <w:shd w:val="clear" w:color="auto" w:fill="FFE7E7"/>
          </w:tcPr>
          <w:p>
            <w:r>
              <w:t>本格復旧</w:t>
            </w:r>
          </w:p>
        </w:tc>
        <w:tc>
          <w:tcPr>
            <w:tcW w:type="dxa" w:w="1701"/>
          </w:tcPr>
          <w:p>
            <w:r>
              <w:t>3日〜</w:t>
            </w:r>
          </w:p>
        </w:tc>
        <w:tc>
          <w:tcPr>
            <w:tcW w:type="dxa" w:w="4535"/>
          </w:tcPr>
          <w:p>
            <w:r>
              <w:t>通常業務の段階的再開・被害状況の記録・保険申請</w:t>
            </w:r>
          </w:p>
        </w:tc>
        <w:tc>
          <w:tcPr>
            <w:tcW w:type="dxa" w:w="2551"/>
          </w:tcPr>
          <w:p/>
        </w:tc>
      </w:tr>
    </w:tbl>
    <w:p/>
    <w:p>
      <w:pPr>
        <w:spacing w:before="160" w:after="40"/>
      </w:pPr>
      <w:r>
        <w:rPr>
          <w:rFonts w:ascii="ＭＳ ゴシック" w:hAnsi="ＭＳ ゴシック"/>
          <w:b/>
          <w:color w:val="2E74B5"/>
          <w:sz w:val="22"/>
        </w:rPr>
        <w:t>第6章　復旧目標・見直し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551"/>
            <w:shd w:val="clear" w:color="auto" w:fill="D6E4F0"/>
          </w:tcPr>
          <w:p>
            <w:r>
              <w:t>目標復旧時間（RTO）</w:t>
            </w:r>
          </w:p>
        </w:tc>
        <w:tc>
          <w:tcPr>
            <w:tcW w:type="dxa" w:w="7654"/>
          </w:tcPr>
          <w:p>
            <w:r>
              <w:t>重要業務の停止から　　　時間（　　日）以内に最低限の業務を再開する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目標復旧水準（RLO）</w:t>
            </w:r>
          </w:p>
        </w:tc>
        <w:tc>
          <w:tcPr>
            <w:tcW w:type="dxa" w:w="7654"/>
          </w:tcPr>
          <w:p>
            <w:r>
              <w:t>通常の　　　% 水準の業務を再開する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計画の見直し時期</w:t>
            </w:r>
          </w:p>
        </w:tc>
        <w:tc>
          <w:tcPr>
            <w:tcW w:type="dxa" w:w="7654"/>
          </w:tcPr>
          <w:p>
            <w:r>
              <w:t>□ 毎年　　月　□ 大規模災害発生後　□ 組織変更時</w:t>
            </w:r>
          </w:p>
        </w:tc>
      </w:tr>
    </w:tbl>
    <w:p/>
    <w:p>
      <w:pPr>
        <w:jc w:val="right"/>
      </w:pPr>
      <w:r>
        <w:rPr>
          <w:rFonts w:ascii="ＭＳ 明朝" w:hAnsi="ＭＳ 明朝"/>
          <w:color w:val="808080"/>
          <w:sz w:val="18"/>
        </w:rPr>
        <w:t>※ 本テンプレートは内閣府「事業継続ガイドライン」（令和5年3月）・中小企業庁「事業継続力強化計画」を参考に作成しています。内容は自社の実態に合わせて修正してください（template-free.jp 2026-05-28確認）。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